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20" w:rsidRPr="00C4669E" w:rsidRDefault="00760510" w:rsidP="00760510">
      <w:pPr>
        <w:jc w:val="center"/>
        <w:rPr>
          <w:rFonts w:ascii="Arial" w:hAnsi="Arial" w:cs="Arial"/>
          <w:b/>
        </w:rPr>
      </w:pPr>
      <w:r w:rsidRPr="00C4669E">
        <w:rPr>
          <w:rFonts w:ascii="Arial" w:hAnsi="Arial" w:cs="Arial"/>
          <w:b/>
        </w:rPr>
        <w:t>MEDIA STATEMENT</w:t>
      </w:r>
    </w:p>
    <w:p w:rsidR="00662FE1" w:rsidRPr="00C4669E" w:rsidRDefault="00662FE1" w:rsidP="00760510">
      <w:pPr>
        <w:jc w:val="center"/>
        <w:rPr>
          <w:rFonts w:ascii="Arial" w:hAnsi="Arial" w:cs="Arial"/>
          <w:b/>
        </w:rPr>
      </w:pPr>
      <w:r w:rsidRPr="00C4669E">
        <w:rPr>
          <w:rFonts w:ascii="Arial" w:hAnsi="Arial" w:cs="Arial"/>
          <w:b/>
        </w:rPr>
        <w:t xml:space="preserve">THE NATIONAL SKILLS </w:t>
      </w:r>
      <w:r w:rsidR="00526C1D" w:rsidRPr="00C4669E">
        <w:rPr>
          <w:rFonts w:ascii="Arial" w:hAnsi="Arial" w:cs="Arial"/>
          <w:b/>
        </w:rPr>
        <w:t>AUTHORITY HOSTS A SUCCESSFULTWO DAY NATIONAL SKILLS CONFERENCE</w:t>
      </w:r>
    </w:p>
    <w:p w:rsidR="00760510" w:rsidRPr="00C4669E" w:rsidRDefault="00526C1D" w:rsidP="00760510">
      <w:pPr>
        <w:rPr>
          <w:rFonts w:ascii="Arial" w:hAnsi="Arial" w:cs="Arial"/>
          <w:b/>
        </w:rPr>
      </w:pPr>
      <w:r w:rsidRPr="00C4669E">
        <w:rPr>
          <w:rFonts w:ascii="Arial" w:hAnsi="Arial" w:cs="Arial"/>
          <w:b/>
        </w:rPr>
        <w:t>24</w:t>
      </w:r>
      <w:r w:rsidR="00760510" w:rsidRPr="00C4669E">
        <w:rPr>
          <w:rFonts w:ascii="Arial" w:hAnsi="Arial" w:cs="Arial"/>
          <w:b/>
        </w:rPr>
        <w:t xml:space="preserve"> March 2017</w:t>
      </w:r>
    </w:p>
    <w:p w:rsidR="005A790B" w:rsidRPr="00C4669E" w:rsidRDefault="005A790B" w:rsidP="00760510">
      <w:pPr>
        <w:rPr>
          <w:rFonts w:ascii="Arial" w:hAnsi="Arial" w:cs="Arial"/>
        </w:rPr>
      </w:pPr>
      <w:r w:rsidRPr="00C4669E">
        <w:rPr>
          <w:rFonts w:ascii="Arial" w:hAnsi="Arial" w:cs="Arial"/>
        </w:rPr>
        <w:t>The National Skills Authority (NSA), together with the Department of Higher Education and Training</w:t>
      </w:r>
      <w:r w:rsidR="00526C1D" w:rsidRPr="00C4669E">
        <w:rPr>
          <w:rFonts w:ascii="Arial" w:hAnsi="Arial" w:cs="Arial"/>
        </w:rPr>
        <w:t xml:space="preserve"> had a successful</w:t>
      </w:r>
      <w:r w:rsidRPr="00C4669E">
        <w:rPr>
          <w:rFonts w:ascii="Arial" w:hAnsi="Arial" w:cs="Arial"/>
        </w:rPr>
        <w:t xml:space="preserve"> Nati</w:t>
      </w:r>
      <w:r w:rsidR="00526C1D" w:rsidRPr="00C4669E">
        <w:rPr>
          <w:rFonts w:ascii="Arial" w:hAnsi="Arial" w:cs="Arial"/>
        </w:rPr>
        <w:t>onal Skills Conference which took</w:t>
      </w:r>
      <w:r w:rsidRPr="00C4669E">
        <w:rPr>
          <w:rFonts w:ascii="Arial" w:hAnsi="Arial" w:cs="Arial"/>
        </w:rPr>
        <w:t xml:space="preserve"> place at Saint George Hotel, Irene in Pretoria.</w:t>
      </w:r>
    </w:p>
    <w:p w:rsidR="00760510" w:rsidRPr="00C4669E" w:rsidRDefault="00526C1D" w:rsidP="00F92BEA">
      <w:pPr>
        <w:jc w:val="both"/>
        <w:rPr>
          <w:rFonts w:ascii="Arial" w:hAnsi="Arial" w:cs="Arial"/>
        </w:rPr>
      </w:pPr>
      <w:r w:rsidRPr="00C4669E">
        <w:rPr>
          <w:rFonts w:ascii="Arial" w:hAnsi="Arial" w:cs="Arial"/>
        </w:rPr>
        <w:t>The conference,</w:t>
      </w:r>
      <w:r w:rsidR="00760510" w:rsidRPr="00C4669E">
        <w:rPr>
          <w:rFonts w:ascii="Arial" w:hAnsi="Arial" w:cs="Arial"/>
        </w:rPr>
        <w:t xml:space="preserve"> attended by</w:t>
      </w:r>
      <w:r w:rsidRPr="00C4669E">
        <w:rPr>
          <w:rFonts w:ascii="Arial" w:hAnsi="Arial" w:cs="Arial"/>
        </w:rPr>
        <w:t xml:space="preserve"> the Deputy President, Mr Cyril </w:t>
      </w:r>
      <w:proofErr w:type="spellStart"/>
      <w:r w:rsidRPr="00C4669E">
        <w:rPr>
          <w:rFonts w:ascii="Arial" w:hAnsi="Arial" w:cs="Arial"/>
        </w:rPr>
        <w:t>Ramaphosa</w:t>
      </w:r>
      <w:proofErr w:type="spellEnd"/>
      <w:r w:rsidRPr="00C4669E">
        <w:rPr>
          <w:rFonts w:ascii="Arial" w:hAnsi="Arial" w:cs="Arial"/>
        </w:rPr>
        <w:t xml:space="preserve"> and the Minister of Higher Education and Training, Dr Blade Nzimande</w:t>
      </w:r>
      <w:r w:rsidR="004E7C61" w:rsidRPr="00C4669E">
        <w:rPr>
          <w:rFonts w:ascii="Arial" w:hAnsi="Arial" w:cs="Arial"/>
        </w:rPr>
        <w:t xml:space="preserve"> on the second day,</w:t>
      </w:r>
      <w:r w:rsidRPr="00C4669E">
        <w:rPr>
          <w:rFonts w:ascii="Arial" w:hAnsi="Arial" w:cs="Arial"/>
        </w:rPr>
        <w:t xml:space="preserve"> was made up of</w:t>
      </w:r>
      <w:r w:rsidR="00760510" w:rsidRPr="00C4669E">
        <w:rPr>
          <w:rFonts w:ascii="Arial" w:hAnsi="Arial" w:cs="Arial"/>
        </w:rPr>
        <w:t xml:space="preserve"> delegate</w:t>
      </w:r>
      <w:r w:rsidRPr="00C4669E">
        <w:rPr>
          <w:rFonts w:ascii="Arial" w:hAnsi="Arial" w:cs="Arial"/>
        </w:rPr>
        <w:t xml:space="preserve">s </w:t>
      </w:r>
      <w:r w:rsidR="001E5C6A" w:rsidRPr="00C4669E">
        <w:rPr>
          <w:rFonts w:ascii="Arial" w:hAnsi="Arial" w:cs="Arial"/>
        </w:rPr>
        <w:t>who represented</w:t>
      </w:r>
      <w:r w:rsidR="00760510" w:rsidRPr="00C4669E">
        <w:rPr>
          <w:rFonts w:ascii="Arial" w:hAnsi="Arial" w:cs="Arial"/>
        </w:rPr>
        <w:t xml:space="preserve"> </w:t>
      </w:r>
      <w:r w:rsidR="00626455">
        <w:rPr>
          <w:rFonts w:ascii="Arial" w:hAnsi="Arial" w:cs="Arial"/>
        </w:rPr>
        <w:t xml:space="preserve">amongst others </w:t>
      </w:r>
      <w:r w:rsidR="00760510" w:rsidRPr="00C4669E">
        <w:rPr>
          <w:rFonts w:ascii="Arial" w:hAnsi="Arial" w:cs="Arial"/>
        </w:rPr>
        <w:t xml:space="preserve">government, organised business, organised labour, community, training providers, Human Resource Development Council South Africa, </w:t>
      </w:r>
      <w:r w:rsidR="00626455">
        <w:rPr>
          <w:rFonts w:ascii="Arial" w:hAnsi="Arial" w:cs="Arial"/>
        </w:rPr>
        <w:t xml:space="preserve">Quality Councils, </w:t>
      </w:r>
      <w:r w:rsidR="00760510" w:rsidRPr="00C4669E">
        <w:rPr>
          <w:rFonts w:ascii="Arial" w:hAnsi="Arial" w:cs="Arial"/>
        </w:rPr>
        <w:t xml:space="preserve">Sector Education and Training Authorities, Universities, </w:t>
      </w:r>
      <w:r w:rsidR="00626455">
        <w:rPr>
          <w:rFonts w:ascii="Arial" w:hAnsi="Arial" w:cs="Arial"/>
        </w:rPr>
        <w:t xml:space="preserve">Provincial Skills Development Forums and  </w:t>
      </w:r>
      <w:r w:rsidR="00760510" w:rsidRPr="00C4669E">
        <w:rPr>
          <w:rFonts w:ascii="Arial" w:hAnsi="Arial" w:cs="Arial"/>
        </w:rPr>
        <w:t>Technical and Vocational Education and Training</w:t>
      </w:r>
      <w:r w:rsidR="00F92BEA" w:rsidRPr="00C4669E">
        <w:rPr>
          <w:rFonts w:ascii="Arial" w:hAnsi="Arial" w:cs="Arial"/>
        </w:rPr>
        <w:t>.</w:t>
      </w:r>
    </w:p>
    <w:p w:rsidR="001E5C6A" w:rsidRPr="00C4669E" w:rsidRDefault="001E5C6A" w:rsidP="00F92BEA">
      <w:pPr>
        <w:jc w:val="both"/>
        <w:rPr>
          <w:rFonts w:ascii="Arial" w:hAnsi="Arial" w:cs="Arial"/>
        </w:rPr>
      </w:pPr>
      <w:r w:rsidRPr="00C4669E">
        <w:rPr>
          <w:rFonts w:ascii="Arial" w:hAnsi="Arial" w:cs="Arial"/>
        </w:rPr>
        <w:t xml:space="preserve">Introducing the Deputy President, the Minister of Higher Education and Training thanked the National Skills Authority and the delegates of their </w:t>
      </w:r>
      <w:r w:rsidR="0065054C" w:rsidRPr="00C4669E">
        <w:rPr>
          <w:rFonts w:ascii="Arial" w:hAnsi="Arial" w:cs="Arial"/>
        </w:rPr>
        <w:t>continued commitment in</w:t>
      </w:r>
      <w:r w:rsidRPr="00C4669E">
        <w:rPr>
          <w:rFonts w:ascii="Arial" w:hAnsi="Arial" w:cs="Arial"/>
        </w:rPr>
        <w:t xml:space="preserve"> making sure the solutions are sought for the country’s skills development challenges.</w:t>
      </w:r>
    </w:p>
    <w:p w:rsidR="001E5C6A" w:rsidRPr="00C4669E" w:rsidRDefault="001E5C6A" w:rsidP="00F92BEA">
      <w:pPr>
        <w:jc w:val="both"/>
        <w:rPr>
          <w:rFonts w:ascii="Arial" w:hAnsi="Arial" w:cs="Arial"/>
        </w:rPr>
      </w:pPr>
      <w:r w:rsidRPr="00C4669E">
        <w:rPr>
          <w:rFonts w:ascii="Arial" w:hAnsi="Arial" w:cs="Arial"/>
        </w:rPr>
        <w:t>“At its essence, the National Skills Conference is about the future of our country. It is about the skills and the capabilities that will enable our young people to build a prosperous, equitable and just society. It is mainly about ending the cycle of poverty” said the Deputy President.</w:t>
      </w:r>
    </w:p>
    <w:p w:rsidR="004E7C61" w:rsidRPr="00C4669E" w:rsidRDefault="001E5C6A" w:rsidP="00F92BEA">
      <w:pPr>
        <w:jc w:val="both"/>
        <w:rPr>
          <w:rFonts w:ascii="Arial" w:hAnsi="Arial" w:cs="Arial"/>
        </w:rPr>
      </w:pPr>
      <w:r w:rsidRPr="00C4669E">
        <w:rPr>
          <w:rFonts w:ascii="Arial" w:hAnsi="Arial" w:cs="Arial"/>
        </w:rPr>
        <w:t xml:space="preserve">The Deputy President applauded the conference for putting skills development at the centre of the country’s national agenda. </w:t>
      </w:r>
      <w:r w:rsidR="009B310C">
        <w:rPr>
          <w:rFonts w:ascii="Arial" w:hAnsi="Arial" w:cs="Arial"/>
        </w:rPr>
        <w:t xml:space="preserve">He highlighted that he </w:t>
      </w:r>
      <w:r w:rsidR="009B310C" w:rsidRPr="009B310C">
        <w:rPr>
          <w:rFonts w:ascii="Arial" w:hAnsi="Arial" w:cs="Arial"/>
        </w:rPr>
        <w:t>subscribe</w:t>
      </w:r>
      <w:r w:rsidR="009B310C">
        <w:rPr>
          <w:rFonts w:ascii="Arial" w:hAnsi="Arial" w:cs="Arial"/>
        </w:rPr>
        <w:t>d</w:t>
      </w:r>
      <w:r w:rsidR="009B310C" w:rsidRPr="009B310C">
        <w:rPr>
          <w:rFonts w:ascii="Arial" w:hAnsi="Arial" w:cs="Arial"/>
        </w:rPr>
        <w:t xml:space="preserve"> to the notion of the </w:t>
      </w:r>
      <w:r w:rsidR="00951E7B">
        <w:rPr>
          <w:rFonts w:ascii="Arial" w:hAnsi="Arial" w:cs="Arial"/>
        </w:rPr>
        <w:t xml:space="preserve">conference </w:t>
      </w:r>
      <w:bookmarkStart w:id="0" w:name="_GoBack"/>
      <w:bookmarkEnd w:id="0"/>
      <w:r w:rsidR="009B310C" w:rsidRPr="009B310C">
        <w:rPr>
          <w:rFonts w:ascii="Arial" w:hAnsi="Arial" w:cs="Arial"/>
        </w:rPr>
        <w:t>theme since it squarely aligns itself with the spirit of the National Development plan 2030 that we should “Build a strong relationship between the college sector and industry</w:t>
      </w:r>
      <w:r w:rsidR="009B310C">
        <w:rPr>
          <w:rFonts w:ascii="Arial" w:hAnsi="Arial" w:cs="Arial"/>
        </w:rPr>
        <w:t xml:space="preserve">. </w:t>
      </w:r>
      <w:r w:rsidRPr="00C4669E">
        <w:rPr>
          <w:rFonts w:ascii="Arial" w:hAnsi="Arial" w:cs="Arial"/>
        </w:rPr>
        <w:t>He also encouraged cooperation as necessary between managers of institution and students, between educational institutions and employers, between universities and TVET Colleges.</w:t>
      </w:r>
    </w:p>
    <w:p w:rsidR="004E7C61" w:rsidRPr="00C4669E" w:rsidRDefault="004E7C61" w:rsidP="00F92BEA">
      <w:pPr>
        <w:jc w:val="both"/>
        <w:rPr>
          <w:rFonts w:ascii="Arial" w:hAnsi="Arial" w:cs="Arial"/>
        </w:rPr>
      </w:pPr>
      <w:r w:rsidRPr="00C4669E">
        <w:rPr>
          <w:rFonts w:ascii="Arial" w:hAnsi="Arial" w:cs="Arial"/>
        </w:rPr>
        <w:t>“Gathered here today are South Africans from all corners of our land, people with different backgrounds, different responsibilities, different perspectives, but who share a common vision of a united, non-racial, non-sexist and prosperous society”, he said in closing and encouraged a patriotic South Africa where we work together to find solutions to our challenges, where dialogue, reason and consensus triumph over insults, violence and intimidation.</w:t>
      </w:r>
    </w:p>
    <w:p w:rsidR="004E7C61" w:rsidRPr="00C4669E" w:rsidRDefault="004E7C61" w:rsidP="00F92BEA">
      <w:pPr>
        <w:jc w:val="both"/>
        <w:rPr>
          <w:rFonts w:ascii="Arial" w:hAnsi="Arial" w:cs="Arial"/>
        </w:rPr>
      </w:pPr>
      <w:r w:rsidRPr="00C4669E">
        <w:rPr>
          <w:rFonts w:ascii="Arial" w:hAnsi="Arial" w:cs="Arial"/>
        </w:rPr>
        <w:t>It was also the presentations that were given on the first day of the conference that really allowed the conference to engage on a variety of matters around skills development</w:t>
      </w:r>
      <w:r w:rsidR="00F24E12" w:rsidRPr="00C4669E">
        <w:rPr>
          <w:rFonts w:ascii="Arial" w:hAnsi="Arial" w:cs="Arial"/>
        </w:rPr>
        <w:t xml:space="preserve"> challenges in the country. </w:t>
      </w:r>
    </w:p>
    <w:p w:rsidR="00F24E12" w:rsidRPr="00C4669E" w:rsidRDefault="00F24E12" w:rsidP="00F92BEA">
      <w:pPr>
        <w:jc w:val="both"/>
        <w:rPr>
          <w:rFonts w:ascii="Arial" w:hAnsi="Arial" w:cs="Arial"/>
        </w:rPr>
      </w:pPr>
      <w:r w:rsidRPr="00C4669E">
        <w:rPr>
          <w:rFonts w:ascii="Arial" w:hAnsi="Arial" w:cs="Arial"/>
        </w:rPr>
        <w:t>These presentations allowed a platform for a question and answer session and really set a tone for the discussions during the breakaway commissions which engaged in a quest to find and propose solutions in the ongoing challenges our country is experiencing regards skills development.</w:t>
      </w:r>
    </w:p>
    <w:p w:rsidR="0065054C" w:rsidRPr="00C4669E" w:rsidRDefault="0065054C" w:rsidP="005C493A">
      <w:pPr>
        <w:jc w:val="both"/>
        <w:rPr>
          <w:rFonts w:ascii="Arial" w:hAnsi="Arial" w:cs="Arial"/>
        </w:rPr>
      </w:pPr>
      <w:r w:rsidRPr="00C4669E">
        <w:rPr>
          <w:rFonts w:ascii="Arial" w:hAnsi="Arial" w:cs="Arial"/>
          <w:b/>
        </w:rPr>
        <w:t xml:space="preserve">The following are the outcomes and proposals of </w:t>
      </w:r>
      <w:r w:rsidR="00E23EAD" w:rsidRPr="00C4669E">
        <w:rPr>
          <w:rFonts w:ascii="Arial" w:hAnsi="Arial" w:cs="Arial"/>
          <w:b/>
        </w:rPr>
        <w:t>the commissions during the conf</w:t>
      </w:r>
      <w:r w:rsidRPr="00C4669E">
        <w:rPr>
          <w:rFonts w:ascii="Arial" w:hAnsi="Arial" w:cs="Arial"/>
          <w:b/>
        </w:rPr>
        <w:t>erence</w:t>
      </w:r>
      <w:r w:rsidRPr="00C4669E">
        <w:rPr>
          <w:rFonts w:ascii="Arial" w:hAnsi="Arial" w:cs="Arial"/>
        </w:rPr>
        <w:t>:</w:t>
      </w:r>
    </w:p>
    <w:p w:rsidR="00141A11" w:rsidRPr="00C4669E" w:rsidRDefault="00141A11" w:rsidP="00C4669E">
      <w:pPr>
        <w:spacing w:after="0" w:line="240" w:lineRule="auto"/>
        <w:jc w:val="both"/>
        <w:rPr>
          <w:rFonts w:ascii="Arial" w:hAnsi="Arial" w:cs="Arial"/>
        </w:rPr>
      </w:pPr>
      <w:r w:rsidRPr="00C4669E">
        <w:rPr>
          <w:rFonts w:ascii="Arial" w:hAnsi="Arial" w:cs="Arial"/>
        </w:rPr>
        <w:t>•</w:t>
      </w:r>
      <w:r w:rsidRPr="00C4669E">
        <w:rPr>
          <w:rFonts w:ascii="Arial" w:hAnsi="Arial" w:cs="Arial"/>
        </w:rPr>
        <w:tab/>
        <w:t>Improve skills planning and forecasting</w:t>
      </w:r>
    </w:p>
    <w:p w:rsidR="00141A11" w:rsidRPr="00C4669E" w:rsidRDefault="00141A11" w:rsidP="00C4669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C4669E">
        <w:rPr>
          <w:rFonts w:ascii="Arial" w:hAnsi="Arial" w:cs="Arial"/>
        </w:rPr>
        <w:lastRenderedPageBreak/>
        <w:t>•</w:t>
      </w:r>
      <w:r w:rsidRPr="00C4669E">
        <w:rPr>
          <w:rFonts w:ascii="Arial" w:hAnsi="Arial" w:cs="Arial"/>
        </w:rPr>
        <w:tab/>
        <w:t>Strengthen governance of SETAs and ensure legislative alignment and separation of powers</w:t>
      </w:r>
    </w:p>
    <w:p w:rsidR="00141A11" w:rsidRPr="00C4669E" w:rsidRDefault="00141A11" w:rsidP="00C4669E">
      <w:pPr>
        <w:spacing w:after="0" w:line="240" w:lineRule="auto"/>
        <w:jc w:val="both"/>
        <w:rPr>
          <w:rFonts w:ascii="Arial" w:hAnsi="Arial" w:cs="Arial"/>
        </w:rPr>
      </w:pPr>
      <w:r w:rsidRPr="00C4669E">
        <w:rPr>
          <w:rFonts w:ascii="Arial" w:hAnsi="Arial" w:cs="Arial"/>
        </w:rPr>
        <w:t>•</w:t>
      </w:r>
      <w:r w:rsidRPr="00C4669E">
        <w:rPr>
          <w:rFonts w:ascii="Arial" w:hAnsi="Arial" w:cs="Arial"/>
        </w:rPr>
        <w:tab/>
        <w:t xml:space="preserve">Develop an NSDS monitoring and evaluation framework </w:t>
      </w:r>
    </w:p>
    <w:p w:rsidR="00141A11" w:rsidRPr="00C4669E" w:rsidRDefault="00141A11" w:rsidP="00C4669E">
      <w:pPr>
        <w:spacing w:after="0" w:line="240" w:lineRule="auto"/>
        <w:jc w:val="both"/>
        <w:rPr>
          <w:rFonts w:ascii="Arial" w:hAnsi="Arial" w:cs="Arial"/>
        </w:rPr>
      </w:pPr>
      <w:r w:rsidRPr="00C4669E">
        <w:rPr>
          <w:rFonts w:ascii="Arial" w:hAnsi="Arial" w:cs="Arial"/>
        </w:rPr>
        <w:t>•</w:t>
      </w:r>
      <w:r w:rsidRPr="00C4669E">
        <w:rPr>
          <w:rFonts w:ascii="Arial" w:hAnsi="Arial" w:cs="Arial"/>
        </w:rPr>
        <w:tab/>
        <w:t>Strengthen the NSA oversight role to monitor the implementation of the NSDS</w:t>
      </w:r>
    </w:p>
    <w:p w:rsidR="00141A11" w:rsidRPr="00C4669E" w:rsidRDefault="00141A11" w:rsidP="00C4669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C4669E">
        <w:rPr>
          <w:rFonts w:ascii="Arial" w:hAnsi="Arial" w:cs="Arial"/>
        </w:rPr>
        <w:t>•</w:t>
      </w:r>
      <w:r w:rsidRPr="00C4669E">
        <w:rPr>
          <w:rFonts w:ascii="Arial" w:hAnsi="Arial" w:cs="Arial"/>
        </w:rPr>
        <w:tab/>
        <w:t xml:space="preserve">Post 2020 NSDS to focus on long term planning, ensure integration of NSDS to key national strategies e.g HRDSA, NDP </w:t>
      </w:r>
    </w:p>
    <w:p w:rsidR="00141A11" w:rsidRPr="00C4669E" w:rsidRDefault="00141A11" w:rsidP="00C4669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C4669E">
        <w:rPr>
          <w:rFonts w:ascii="Arial" w:hAnsi="Arial" w:cs="Arial"/>
        </w:rPr>
        <w:t>•</w:t>
      </w:r>
      <w:r w:rsidRPr="00C4669E">
        <w:rPr>
          <w:rFonts w:ascii="Arial" w:hAnsi="Arial" w:cs="Arial"/>
        </w:rPr>
        <w:tab/>
        <w:t xml:space="preserve">Regulate and develop a WPBL policy (including articulation, funding for WBPL, standardisation of stipends, roles and responsibilities employers and labour </w:t>
      </w:r>
      <w:proofErr w:type="spellStart"/>
      <w:r w:rsidRPr="00C4669E">
        <w:rPr>
          <w:rFonts w:ascii="Arial" w:hAnsi="Arial" w:cs="Arial"/>
        </w:rPr>
        <w:t>etc</w:t>
      </w:r>
      <w:proofErr w:type="spellEnd"/>
      <w:r w:rsidRPr="00C4669E">
        <w:rPr>
          <w:rFonts w:ascii="Arial" w:hAnsi="Arial" w:cs="Arial"/>
        </w:rPr>
        <w:t>)</w:t>
      </w:r>
    </w:p>
    <w:p w:rsidR="00141A11" w:rsidRPr="00C4669E" w:rsidRDefault="00141A11" w:rsidP="00C4669E">
      <w:pPr>
        <w:spacing w:after="0" w:line="240" w:lineRule="auto"/>
        <w:jc w:val="both"/>
        <w:rPr>
          <w:rFonts w:ascii="Arial" w:hAnsi="Arial" w:cs="Arial"/>
        </w:rPr>
      </w:pPr>
      <w:r w:rsidRPr="00C4669E">
        <w:rPr>
          <w:rFonts w:ascii="Arial" w:hAnsi="Arial" w:cs="Arial"/>
        </w:rPr>
        <w:t>•</w:t>
      </w:r>
      <w:r w:rsidRPr="00C4669E">
        <w:rPr>
          <w:rFonts w:ascii="Arial" w:hAnsi="Arial" w:cs="Arial"/>
        </w:rPr>
        <w:tab/>
        <w:t>Prioritise lecturer development for TVET colleges</w:t>
      </w:r>
    </w:p>
    <w:p w:rsidR="00141A11" w:rsidRPr="00C4669E" w:rsidRDefault="00141A11" w:rsidP="00C4669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C4669E">
        <w:rPr>
          <w:rFonts w:ascii="Arial" w:hAnsi="Arial" w:cs="Arial"/>
        </w:rPr>
        <w:t>•</w:t>
      </w:r>
      <w:r w:rsidRPr="00C4669E">
        <w:rPr>
          <w:rFonts w:ascii="Arial" w:hAnsi="Arial" w:cs="Arial"/>
        </w:rPr>
        <w:tab/>
        <w:t>Investigate the effectiveness and employability/destination of TVET programmes</w:t>
      </w:r>
    </w:p>
    <w:p w:rsidR="00141A11" w:rsidRPr="00C4669E" w:rsidRDefault="00141A11" w:rsidP="00C4669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C4669E">
        <w:rPr>
          <w:rFonts w:ascii="Arial" w:hAnsi="Arial" w:cs="Arial"/>
        </w:rPr>
        <w:t>•</w:t>
      </w:r>
      <w:r w:rsidRPr="00C4669E">
        <w:rPr>
          <w:rFonts w:ascii="Arial" w:hAnsi="Arial" w:cs="Arial"/>
        </w:rPr>
        <w:tab/>
        <w:t>Strengthen the involvement of community colleges in the post-school education and training system</w:t>
      </w:r>
    </w:p>
    <w:p w:rsidR="00141A11" w:rsidRPr="00C4669E" w:rsidRDefault="00141A11" w:rsidP="00C4669E">
      <w:pPr>
        <w:spacing w:after="0" w:line="240" w:lineRule="auto"/>
        <w:jc w:val="both"/>
        <w:rPr>
          <w:rFonts w:ascii="Arial" w:hAnsi="Arial" w:cs="Arial"/>
        </w:rPr>
      </w:pPr>
      <w:r w:rsidRPr="00C4669E">
        <w:rPr>
          <w:rFonts w:ascii="Arial" w:hAnsi="Arial" w:cs="Arial"/>
        </w:rPr>
        <w:t>•</w:t>
      </w:r>
      <w:r w:rsidRPr="00C4669E">
        <w:rPr>
          <w:rFonts w:ascii="Arial" w:hAnsi="Arial" w:cs="Arial"/>
        </w:rPr>
        <w:tab/>
        <w:t xml:space="preserve">Ensure skills transfer </w:t>
      </w:r>
    </w:p>
    <w:p w:rsidR="00141A11" w:rsidRPr="00C4669E" w:rsidRDefault="00141A11" w:rsidP="00C4669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C4669E">
        <w:rPr>
          <w:rFonts w:ascii="Arial" w:hAnsi="Arial" w:cs="Arial"/>
        </w:rPr>
        <w:t>•</w:t>
      </w:r>
      <w:r w:rsidRPr="00C4669E">
        <w:rPr>
          <w:rFonts w:ascii="Arial" w:hAnsi="Arial" w:cs="Arial"/>
        </w:rPr>
        <w:tab/>
        <w:t>Acceleration of Recognition of Prior Learning programmes and consideration of E-learning</w:t>
      </w:r>
    </w:p>
    <w:p w:rsidR="00141A11" w:rsidRPr="00C4669E" w:rsidRDefault="00141A11" w:rsidP="00C4669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C4669E">
        <w:rPr>
          <w:rFonts w:ascii="Arial" w:hAnsi="Arial" w:cs="Arial"/>
        </w:rPr>
        <w:t>•</w:t>
      </w:r>
      <w:r w:rsidRPr="00C4669E">
        <w:rPr>
          <w:rFonts w:ascii="Arial" w:hAnsi="Arial" w:cs="Arial"/>
        </w:rPr>
        <w:tab/>
        <w:t xml:space="preserve">The need for NSA visibility and provincial footprints (Consultation with Provinces on scarce skills)  </w:t>
      </w:r>
    </w:p>
    <w:p w:rsidR="00141A11" w:rsidRPr="00C4669E" w:rsidRDefault="00141A11" w:rsidP="00C4669E">
      <w:pPr>
        <w:spacing w:after="0" w:line="240" w:lineRule="auto"/>
        <w:jc w:val="both"/>
        <w:rPr>
          <w:rFonts w:ascii="Arial" w:hAnsi="Arial" w:cs="Arial"/>
        </w:rPr>
      </w:pPr>
      <w:r w:rsidRPr="00C4669E">
        <w:rPr>
          <w:rFonts w:ascii="Arial" w:hAnsi="Arial" w:cs="Arial"/>
        </w:rPr>
        <w:t>•</w:t>
      </w:r>
      <w:r w:rsidRPr="00C4669E">
        <w:rPr>
          <w:rFonts w:ascii="Arial" w:hAnsi="Arial" w:cs="Arial"/>
        </w:rPr>
        <w:tab/>
        <w:t xml:space="preserve">Strengthen the capacity of the QCTO (financial, human, </w:t>
      </w:r>
      <w:proofErr w:type="spellStart"/>
      <w:r w:rsidRPr="00C4669E">
        <w:rPr>
          <w:rFonts w:ascii="Arial" w:hAnsi="Arial" w:cs="Arial"/>
        </w:rPr>
        <w:t>etc</w:t>
      </w:r>
      <w:proofErr w:type="spellEnd"/>
      <w:r w:rsidRPr="00C4669E">
        <w:rPr>
          <w:rFonts w:ascii="Arial" w:hAnsi="Arial" w:cs="Arial"/>
        </w:rPr>
        <w:t>)</w:t>
      </w:r>
    </w:p>
    <w:p w:rsidR="0065054C" w:rsidRPr="00C4669E" w:rsidRDefault="00141A11" w:rsidP="00C4669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C4669E">
        <w:rPr>
          <w:rFonts w:ascii="Arial" w:hAnsi="Arial" w:cs="Arial"/>
        </w:rPr>
        <w:t>•</w:t>
      </w:r>
      <w:r w:rsidRPr="00C4669E">
        <w:rPr>
          <w:rFonts w:ascii="Arial" w:hAnsi="Arial" w:cs="Arial"/>
        </w:rPr>
        <w:tab/>
        <w:t>Constituencies pledged their support towards the implementation of the NSDS and post-school education system</w:t>
      </w:r>
    </w:p>
    <w:p w:rsidR="00644D36" w:rsidRPr="00C4669E" w:rsidRDefault="00644D36" w:rsidP="005C493A">
      <w:pPr>
        <w:jc w:val="both"/>
        <w:rPr>
          <w:rFonts w:ascii="Arial" w:hAnsi="Arial" w:cs="Arial"/>
        </w:rPr>
      </w:pPr>
      <w:r w:rsidRPr="00C4669E">
        <w:rPr>
          <w:rFonts w:ascii="Arial" w:hAnsi="Arial" w:cs="Arial"/>
        </w:rPr>
        <w:t>The</w:t>
      </w:r>
      <w:r w:rsidR="0065054C" w:rsidRPr="00C4669E">
        <w:rPr>
          <w:rFonts w:ascii="Arial" w:hAnsi="Arial" w:cs="Arial"/>
        </w:rPr>
        <w:t xml:space="preserve">re </w:t>
      </w:r>
      <w:r w:rsidR="00141A11" w:rsidRPr="00C4669E">
        <w:rPr>
          <w:rFonts w:ascii="Arial" w:hAnsi="Arial" w:cs="Arial"/>
        </w:rPr>
        <w:t>was</w:t>
      </w:r>
      <w:r w:rsidR="0065054C" w:rsidRPr="00C4669E">
        <w:rPr>
          <w:rFonts w:ascii="Arial" w:hAnsi="Arial" w:cs="Arial"/>
        </w:rPr>
        <w:t xml:space="preserve"> also the NSA A</w:t>
      </w:r>
      <w:r w:rsidRPr="00C4669E">
        <w:rPr>
          <w:rFonts w:ascii="Arial" w:hAnsi="Arial" w:cs="Arial"/>
        </w:rPr>
        <w:t xml:space="preserve">wards ceremony </w:t>
      </w:r>
      <w:r w:rsidR="0065054C" w:rsidRPr="00C4669E">
        <w:rPr>
          <w:rFonts w:ascii="Arial" w:hAnsi="Arial" w:cs="Arial"/>
        </w:rPr>
        <w:t xml:space="preserve">which took place </w:t>
      </w:r>
      <w:r w:rsidR="004B5E21" w:rsidRPr="00C4669E">
        <w:rPr>
          <w:rFonts w:ascii="Arial" w:hAnsi="Arial" w:cs="Arial"/>
        </w:rPr>
        <w:t>on 23 March 2017</w:t>
      </w:r>
      <w:r w:rsidR="0065054C" w:rsidRPr="00C4669E">
        <w:rPr>
          <w:rFonts w:ascii="Arial" w:hAnsi="Arial" w:cs="Arial"/>
        </w:rPr>
        <w:t xml:space="preserve">. The aim of the NSA Awards ceremony was to </w:t>
      </w:r>
      <w:r w:rsidRPr="00C4669E">
        <w:rPr>
          <w:rFonts w:ascii="Arial" w:hAnsi="Arial" w:cs="Arial"/>
        </w:rPr>
        <w:t>celebrate excellence by recognising best skills development practices across all skills development implementers and National Skills Funded Projects in various categories.</w:t>
      </w:r>
      <w:r w:rsidR="0065054C" w:rsidRPr="00C4669E">
        <w:rPr>
          <w:rFonts w:ascii="Arial" w:hAnsi="Arial" w:cs="Arial"/>
        </w:rPr>
        <w:t xml:space="preserve"> The NSA Chairperson, Ms Lulama Nare said the NSA Awards Ceremony recognises the good work done by men and women of our beautiful countr</w:t>
      </w:r>
      <w:r w:rsidR="00E23EAD" w:rsidRPr="00C4669E">
        <w:rPr>
          <w:rFonts w:ascii="Arial" w:hAnsi="Arial" w:cs="Arial"/>
        </w:rPr>
        <w:t>y charged also with the respons</w:t>
      </w:r>
      <w:r w:rsidR="0065054C" w:rsidRPr="00C4669E">
        <w:rPr>
          <w:rFonts w:ascii="Arial" w:hAnsi="Arial" w:cs="Arial"/>
        </w:rPr>
        <w:t xml:space="preserve">ibility of developing our people with requisite skills for the socio-economic </w:t>
      </w:r>
      <w:proofErr w:type="spellStart"/>
      <w:r w:rsidR="0065054C" w:rsidRPr="00C4669E">
        <w:rPr>
          <w:rFonts w:ascii="Arial" w:hAnsi="Arial" w:cs="Arial"/>
        </w:rPr>
        <w:t>upliftment</w:t>
      </w:r>
      <w:proofErr w:type="spellEnd"/>
      <w:r w:rsidR="0065054C" w:rsidRPr="00C4669E">
        <w:rPr>
          <w:rFonts w:ascii="Arial" w:hAnsi="Arial" w:cs="Arial"/>
        </w:rPr>
        <w:t xml:space="preserve"> and inclusive growth path.</w:t>
      </w:r>
    </w:p>
    <w:p w:rsidR="00644D36" w:rsidRPr="00C4669E" w:rsidRDefault="00644D36" w:rsidP="005C493A">
      <w:pPr>
        <w:jc w:val="both"/>
        <w:rPr>
          <w:rFonts w:ascii="Arial" w:hAnsi="Arial" w:cs="Arial"/>
          <w:b/>
        </w:rPr>
      </w:pPr>
      <w:r w:rsidRPr="00C4669E">
        <w:rPr>
          <w:rFonts w:ascii="Arial" w:hAnsi="Arial" w:cs="Arial"/>
          <w:b/>
        </w:rPr>
        <w:t xml:space="preserve">The </w:t>
      </w:r>
      <w:r w:rsidR="0065054C" w:rsidRPr="00C4669E">
        <w:rPr>
          <w:rFonts w:ascii="Arial" w:hAnsi="Arial" w:cs="Arial"/>
          <w:b/>
        </w:rPr>
        <w:t xml:space="preserve">winners </w:t>
      </w:r>
      <w:r w:rsidR="00141A11" w:rsidRPr="00C4669E">
        <w:rPr>
          <w:rFonts w:ascii="Arial" w:hAnsi="Arial" w:cs="Arial"/>
          <w:b/>
        </w:rPr>
        <w:t>we</w:t>
      </w:r>
      <w:r w:rsidR="0065054C" w:rsidRPr="00C4669E">
        <w:rPr>
          <w:rFonts w:ascii="Arial" w:hAnsi="Arial" w:cs="Arial"/>
          <w:b/>
        </w:rPr>
        <w:t>re as follows:</w:t>
      </w: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418"/>
        <w:gridCol w:w="3685"/>
      </w:tblGrid>
      <w:tr w:rsidR="00141A11" w:rsidRPr="00141A11" w:rsidTr="00141A11">
        <w:trPr>
          <w:tblHeader/>
        </w:trPr>
        <w:tc>
          <w:tcPr>
            <w:tcW w:w="2093" w:type="dxa"/>
            <w:shd w:val="clear" w:color="auto" w:fill="DBDBDB" w:themeFill="accent3" w:themeFillTint="66"/>
          </w:tcPr>
          <w:p w:rsidR="00141A11" w:rsidRPr="00141A11" w:rsidRDefault="00141A11" w:rsidP="000B1B2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sz w:val="22"/>
                <w:szCs w:val="22"/>
                <w:lang w:val="en-GB"/>
              </w:rPr>
              <w:t>NSDS Goal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141A11" w:rsidRPr="00141A11" w:rsidRDefault="00141A11" w:rsidP="000B1B2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141A11" w:rsidRPr="00141A11" w:rsidRDefault="00141A11" w:rsidP="000B1B2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sz w:val="22"/>
                <w:szCs w:val="22"/>
                <w:lang w:val="en-GB"/>
              </w:rPr>
              <w:t>Recipient</w:t>
            </w:r>
          </w:p>
        </w:tc>
        <w:tc>
          <w:tcPr>
            <w:tcW w:w="3685" w:type="dxa"/>
            <w:shd w:val="clear" w:color="auto" w:fill="DBDBDB" w:themeFill="accent3" w:themeFillTint="66"/>
          </w:tcPr>
          <w:p w:rsidR="00141A11" w:rsidRPr="00141A11" w:rsidRDefault="00141A11" w:rsidP="000B1B2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Company</w:t>
            </w:r>
          </w:p>
        </w:tc>
      </w:tr>
      <w:tr w:rsidR="00141A11" w:rsidRPr="00141A11" w:rsidTr="00141A11">
        <w:tc>
          <w:tcPr>
            <w:tcW w:w="2093" w:type="dxa"/>
            <w:vMerge w:val="restart"/>
          </w:tcPr>
          <w:p w:rsidR="00141A11" w:rsidRPr="00141A11" w:rsidRDefault="00141A11" w:rsidP="000B1B2B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Goal 4.2 </w:t>
            </w:r>
          </w:p>
          <w:p w:rsidR="00141A11" w:rsidRPr="00141A11" w:rsidRDefault="00141A11" w:rsidP="000B1B2B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  <w:t xml:space="preserve">Increasing access to </w:t>
            </w:r>
          </w:p>
          <w:p w:rsidR="00141A11" w:rsidRPr="00141A11" w:rsidRDefault="00141A11" w:rsidP="000B1B2B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  <w:t>occupationally</w:t>
            </w:r>
            <w:r w:rsidRPr="00141A11">
              <w:rPr>
                <w:rFonts w:ascii="Cambria Math" w:hAnsi="Cambria Math" w:cs="Cambria Math"/>
                <w:bCs/>
                <w:iCs/>
                <w:color w:val="000000"/>
                <w:sz w:val="22"/>
                <w:szCs w:val="22"/>
                <w:lang w:val="en-GB"/>
              </w:rPr>
              <w:t>‐</w:t>
            </w:r>
            <w:r w:rsidRPr="00141A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  <w:t xml:space="preserve">directed </w:t>
            </w:r>
          </w:p>
          <w:p w:rsidR="00141A11" w:rsidRPr="00141A11" w:rsidRDefault="00141A11" w:rsidP="000B1B2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  <w:t>programmes</w:t>
            </w:r>
            <w:r w:rsidRPr="00141A1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141A11" w:rsidRPr="00141A11" w:rsidRDefault="00141A11" w:rsidP="000B1B2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Merge w:val="restart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sz w:val="22"/>
                <w:szCs w:val="22"/>
                <w:lang w:val="en-GB"/>
              </w:rPr>
              <w:t>Best Artisan Development Programme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41A11" w:rsidRPr="00141A11" w:rsidRDefault="00141A11" w:rsidP="000B1B2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Large company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Bronze ( Position 3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Sibanye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Gold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Silver   (Position 2)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Anglo American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Gold  (Position 1)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Algoa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Bus Company</w:t>
            </w: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Provincial Department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Silver   (Position 2 KZN Department of Transport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Gold  (Position 1)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Gauteng City Region Academy (GCRA)</w:t>
            </w: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Best Municipality 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Bronze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Ugu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District Municipality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Small (SMME)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Bronze ( Position 3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) S</w:t>
            </w:r>
            <w:r w:rsidRPr="00C4669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S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ACI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Silver   (Position 2)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Aranda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Textiles Mills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Gold  (Position 1)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Novus Academy</w:t>
            </w: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TVET College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Bronze ( Position 3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) West Coast TVET College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Silver   (Position 2)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Lephalale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TVET College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Gold  (Position 1)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Umfolozi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TVET College</w:t>
            </w: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private college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Colliery Training College</w:t>
            </w:r>
          </w:p>
        </w:tc>
      </w:tr>
      <w:tr w:rsidR="00141A11" w:rsidRPr="00141A11" w:rsidTr="00141A11">
        <w:tc>
          <w:tcPr>
            <w:tcW w:w="2093" w:type="dxa"/>
            <w:vMerge w:val="restart"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</w:pPr>
            <w:r w:rsidRPr="00141A11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  <w:t xml:space="preserve">Goal 4.3 </w:t>
            </w:r>
          </w:p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  <w:t>Promoting the growth of a</w:t>
            </w:r>
          </w:p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  <w:t>public TVET College system</w:t>
            </w:r>
          </w:p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  <w:t xml:space="preserve">that is responsive to sector, local, regional and national skills needs and priorities  </w:t>
            </w:r>
          </w:p>
        </w:tc>
        <w:tc>
          <w:tcPr>
            <w:tcW w:w="2126" w:type="dxa"/>
            <w:vMerge w:val="restart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sz w:val="22"/>
                <w:szCs w:val="22"/>
                <w:lang w:val="en-GB"/>
              </w:rPr>
              <w:t xml:space="preserve">Best TVET placement programme 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Large company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Boxer Superstores </w:t>
            </w: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Small (SMME)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Bronze ( Position 3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) IK Training and Assessment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Silver   (Position 2) 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Mareditel</w:t>
            </w:r>
            <w:proofErr w:type="spellEnd"/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Gold (Position 1)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Guest Resources Services </w:t>
            </w: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TVET College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Silver   (Position 2) 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Umfolozi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TVET College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Gold (Position 1)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West Coast TVET College</w:t>
            </w:r>
          </w:p>
        </w:tc>
      </w:tr>
      <w:tr w:rsidR="00141A11" w:rsidRPr="00141A11" w:rsidTr="00141A11">
        <w:trPr>
          <w:trHeight w:val="516"/>
        </w:trPr>
        <w:tc>
          <w:tcPr>
            <w:tcW w:w="2093" w:type="dxa"/>
            <w:vMerge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private college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Bronze ( Position 3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Aranda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Learnership College</w:t>
            </w:r>
          </w:p>
          <w:p w:rsidR="00141A11" w:rsidRPr="00141A11" w:rsidRDefault="00141A11" w:rsidP="000B1B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Silver   (Position 2)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Sparrow FET College</w:t>
            </w: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Gold (Position 1)</w:t>
            </w:r>
            <w:r w:rsidRPr="00141A11">
              <w:rPr>
                <w:rFonts w:ascii="Arial" w:hAnsi="Arial" w:cs="Arial"/>
                <w:sz w:val="22"/>
                <w:szCs w:val="22"/>
                <w:lang w:val="en-GB"/>
              </w:rPr>
              <w:t>Furniture World Private College</w:t>
            </w:r>
          </w:p>
        </w:tc>
      </w:tr>
      <w:tr w:rsidR="00141A11" w:rsidRPr="00141A11" w:rsidTr="00141A11">
        <w:tc>
          <w:tcPr>
            <w:tcW w:w="2093" w:type="dxa"/>
            <w:vMerge w:val="restart"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</w:pPr>
            <w:r w:rsidRPr="00141A11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  <w:t>Goal 4.4</w:t>
            </w:r>
          </w:p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  <w:t xml:space="preserve">Addressing the low level of </w:t>
            </w:r>
          </w:p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  <w:t>youth and adult language</w:t>
            </w:r>
          </w:p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  <w:t>and numeracy skills to</w:t>
            </w:r>
          </w:p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pPr>
            <w:r w:rsidRPr="00141A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  <w:t>enable additional training</w:t>
            </w:r>
          </w:p>
        </w:tc>
        <w:tc>
          <w:tcPr>
            <w:tcW w:w="2126" w:type="dxa"/>
            <w:vMerge w:val="restart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sz w:val="22"/>
                <w:szCs w:val="22"/>
                <w:lang w:val="en-GB"/>
              </w:rPr>
              <w:t>Best AET Programme</w:t>
            </w: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Large company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Bronze ( Position 3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Kumba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Iron Ore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Silver   (Position 2) 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Richards Bay Minerals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Gold (Position 1)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Sibanye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Gold</w:t>
            </w: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Small (SMME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Silver   (Position 2) 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Guest Resource Services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Gold (Position 1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Celrose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Clothing</w:t>
            </w: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Provincial Department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Silver   (Position 2) 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Kwazulu-Natal Department of Human Settlements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Gold (Position 1)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Kwazulu-Natal Office of the Premier</w:t>
            </w: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2126" w:type="dxa"/>
            <w:vMerge w:val="restart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sz w:val="22"/>
                <w:szCs w:val="22"/>
                <w:lang w:val="en-GB"/>
              </w:rPr>
              <w:t>Best Skills Programme</w:t>
            </w: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Large company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Bronze ( Position 3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Kumba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Iron Ore</w:t>
            </w:r>
          </w:p>
          <w:p w:rsidR="00141A11" w:rsidRPr="00141A11" w:rsidRDefault="00141A11" w:rsidP="000B1B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Silver   (Position 2) 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Networx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for career development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Gold (Position 1)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Sibanye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Gold</w:t>
            </w: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National department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Silver   (Position 2)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Department of Energy 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Gold (Position 1)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Correctional Services</w:t>
            </w: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Small company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Bronze ( Position 3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Aranda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Textiles Mills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Silver   (Position 2) 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Celrose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Clothing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Gold (Position 1)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Trade call investments</w:t>
            </w: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TVET college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Umfolozi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TVET College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Private College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Silver   (Position 2)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Furniture World Private College</w:t>
            </w:r>
          </w:p>
          <w:p w:rsidR="00141A11" w:rsidRPr="00141A11" w:rsidRDefault="00141A11" w:rsidP="000B1B2B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Gold (Position 1)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Colliery Training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lastRenderedPageBreak/>
              <w:t>College</w:t>
            </w:r>
          </w:p>
        </w:tc>
      </w:tr>
      <w:tr w:rsidR="00141A11" w:rsidRPr="00141A11" w:rsidTr="00141A11">
        <w:trPr>
          <w:trHeight w:val="334"/>
        </w:trPr>
        <w:tc>
          <w:tcPr>
            <w:tcW w:w="2093" w:type="dxa"/>
            <w:vMerge w:val="restart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lastRenderedPageBreak/>
              <w:t>Goal 4.5</w:t>
            </w:r>
            <w:r w:rsidRPr="00141A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  <w:t xml:space="preserve"> Encouraging better use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  <w:t>of workplace-based skills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  <w:t xml:space="preserve"> development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Merge w:val="restart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sz w:val="22"/>
                <w:szCs w:val="22"/>
                <w:lang w:val="en-GB"/>
              </w:rPr>
              <w:t xml:space="preserve">Best University Placement 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sz w:val="22"/>
                <w:szCs w:val="22"/>
                <w:lang w:val="en-GB"/>
              </w:rPr>
              <w:t>Programme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sz w:val="22"/>
                <w:szCs w:val="22"/>
                <w:lang w:val="en-GB"/>
              </w:rPr>
              <w:t>(WIL)</w:t>
            </w: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Large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Bronze ( Position 3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) Boxer Superstores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Silver   (Position 2) 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AIDC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Gold (Position 1)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Sibanye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Gold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Small company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Bronze ( Position 3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Specsaver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South Africa</w:t>
            </w: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Silver   (Position 2) 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SABC Group Learning and Development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Gold (Position 1)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Celrose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Clothing</w:t>
            </w: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municipality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Bronze ( Position 3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) 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Silver   (Position 2) 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Gold (Position 1)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Ethekwini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Municipal Institute of Learning</w:t>
            </w:r>
          </w:p>
        </w:tc>
      </w:tr>
      <w:tr w:rsidR="00141A11" w:rsidRPr="00141A11" w:rsidTr="00141A11">
        <w:tc>
          <w:tcPr>
            <w:tcW w:w="2093" w:type="dxa"/>
            <w:vMerge w:val="restart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Goal 4.6</w:t>
            </w:r>
            <w:r w:rsidRPr="00141A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  <w:t xml:space="preserve"> Encouraging and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  <w:t xml:space="preserve">supporting cooperatives, 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  <w:t>small enterprises,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  <w:t>worker-initiated, NGO and community training initiatives</w:t>
            </w:r>
          </w:p>
        </w:tc>
        <w:tc>
          <w:tcPr>
            <w:tcW w:w="2126" w:type="dxa"/>
            <w:vMerge w:val="restart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Community project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:rsidR="00141A11" w:rsidRPr="00141A11" w:rsidRDefault="00141A11" w:rsidP="000B1B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Large company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Bronze ( Position 3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Kolomela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Iron Ore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Silver   (Position 2) 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Siyaloba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Training Academy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Gold (Position 1)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Bidvest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Protea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Coin</w:t>
            </w: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sz w:val="22"/>
                <w:szCs w:val="22"/>
                <w:lang w:val="en-GB"/>
              </w:rPr>
              <w:t>Best Small Company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1A11">
              <w:rPr>
                <w:rFonts w:ascii="Arial" w:hAnsi="Arial" w:cs="Arial"/>
                <w:sz w:val="22"/>
                <w:szCs w:val="22"/>
              </w:rPr>
              <w:t>Marang</w:t>
            </w:r>
            <w:proofErr w:type="spellEnd"/>
            <w:r w:rsidRPr="00141A11">
              <w:rPr>
                <w:rFonts w:ascii="Arial" w:hAnsi="Arial" w:cs="Arial"/>
                <w:sz w:val="22"/>
                <w:szCs w:val="22"/>
              </w:rPr>
              <w:t xml:space="preserve"> Incorporated</w:t>
            </w: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municipality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(Position 1)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Ugu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District Municipality</w:t>
            </w:r>
          </w:p>
        </w:tc>
      </w:tr>
      <w:tr w:rsidR="00141A11" w:rsidRPr="00141A11" w:rsidTr="00141A11">
        <w:tc>
          <w:tcPr>
            <w:tcW w:w="2093" w:type="dxa"/>
            <w:vMerge w:val="restart"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</w:pPr>
            <w:r w:rsidRPr="00141A11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  <w:t xml:space="preserve">Goal 4.7  </w:t>
            </w:r>
          </w:p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  <w:t>Increasing public</w:t>
            </w:r>
          </w:p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  <w:t>Sector capacity for improved service delivery</w:t>
            </w:r>
          </w:p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  <w:t>and supporting the building</w:t>
            </w:r>
          </w:p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pPr>
            <w:r w:rsidRPr="00141A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</w:rPr>
              <w:t>of a developmental state</w:t>
            </w:r>
          </w:p>
        </w:tc>
        <w:tc>
          <w:tcPr>
            <w:tcW w:w="2126" w:type="dxa"/>
            <w:vMerge w:val="restart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sz w:val="22"/>
                <w:szCs w:val="22"/>
                <w:lang w:val="en-GB"/>
              </w:rPr>
              <w:t xml:space="preserve">Best Public Sector </w:t>
            </w:r>
            <w:r w:rsidRPr="00141A11">
              <w:rPr>
                <w:rFonts w:ascii="Arial" w:hAnsi="Arial" w:cs="Arial"/>
                <w:sz w:val="22"/>
                <w:szCs w:val="22"/>
              </w:rPr>
              <w:t>Internship and learnership programmes</w:t>
            </w: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National Department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Bronze ( Position 3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) Department of Energy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Silver   (Position 2) 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Department of Science and Technology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Gold (Position 1)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Department of Correctional Services</w:t>
            </w:r>
          </w:p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Provincial Department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Bronze ( Position 3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) )  KZN department of Transport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Silver   (Position 2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KZN Provincial Treasury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Gold (Position 1)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Eastern Cape Department of Roads and Public Works </w:t>
            </w: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Municipality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Bronze ( Position 3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) 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Silver   (Position 2)  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Gold (Position 1)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Pixley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ka Seme District municipality</w:t>
            </w: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2126" w:type="dxa"/>
            <w:vMerge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Large company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Bronze ( Position 3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) Unemployment Insurance Fund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Silver   (Position 2) 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Kolomela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Iron Ore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Gold (Position 1)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AIDC</w:t>
            </w:r>
          </w:p>
        </w:tc>
      </w:tr>
      <w:tr w:rsidR="00141A11" w:rsidRPr="00141A11" w:rsidTr="00141A11">
        <w:tc>
          <w:tcPr>
            <w:tcW w:w="2093" w:type="dxa"/>
            <w:vMerge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2126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Private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lastRenderedPageBreak/>
              <w:t>College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Bronze ( Position 3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Algoa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Bus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lastRenderedPageBreak/>
              <w:t xml:space="preserve">Company 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Silver   (Position 2)  </w:t>
            </w:r>
            <w:proofErr w:type="spellStart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Celrose</w:t>
            </w:r>
            <w:proofErr w:type="spellEnd"/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Clothing</w:t>
            </w:r>
          </w:p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</w:rPr>
            </w:pPr>
            <w:r w:rsidRPr="00141A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Gold (Position 1) </w:t>
            </w: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SABC Group Learning and Development</w:t>
            </w:r>
          </w:p>
        </w:tc>
      </w:tr>
      <w:tr w:rsidR="00141A11" w:rsidRPr="00141A11" w:rsidTr="00141A11">
        <w:tc>
          <w:tcPr>
            <w:tcW w:w="2093" w:type="dxa"/>
          </w:tcPr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</w:pPr>
            <w:r w:rsidRPr="00141A11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  <w:lastRenderedPageBreak/>
              <w:t xml:space="preserve">Goal 4.8 </w:t>
            </w:r>
          </w:p>
          <w:p w:rsidR="00141A11" w:rsidRPr="00141A11" w:rsidRDefault="00141A11" w:rsidP="000B1B2B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pPr>
            <w:r w:rsidRPr="00141A11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Building career and vocational guidance</w:t>
            </w:r>
          </w:p>
        </w:tc>
        <w:tc>
          <w:tcPr>
            <w:tcW w:w="2126" w:type="dxa"/>
          </w:tcPr>
          <w:p w:rsidR="00141A11" w:rsidRPr="00141A11" w:rsidRDefault="00141A11" w:rsidP="000B1B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sz w:val="22"/>
                <w:szCs w:val="22"/>
                <w:lang w:val="en-GB"/>
              </w:rPr>
              <w:t>Best career and vocational guidance programme</w:t>
            </w:r>
          </w:p>
        </w:tc>
        <w:tc>
          <w:tcPr>
            <w:tcW w:w="1418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Best career guidance partnership</w:t>
            </w:r>
          </w:p>
        </w:tc>
        <w:tc>
          <w:tcPr>
            <w:tcW w:w="3685" w:type="dxa"/>
          </w:tcPr>
          <w:p w:rsidR="00141A11" w:rsidRPr="00141A11" w:rsidRDefault="00141A11" w:rsidP="000B1B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141A11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Second Chance Foundation</w:t>
            </w:r>
          </w:p>
        </w:tc>
      </w:tr>
    </w:tbl>
    <w:p w:rsidR="00141A11" w:rsidRPr="00C4669E" w:rsidRDefault="00141A11" w:rsidP="00141A11">
      <w:pPr>
        <w:rPr>
          <w:rFonts w:ascii="Arial" w:hAnsi="Arial" w:cs="Arial"/>
        </w:rPr>
      </w:pPr>
    </w:p>
    <w:p w:rsidR="00C4669E" w:rsidRDefault="00C4669E" w:rsidP="00C4669E">
      <w:pPr>
        <w:spacing w:after="0" w:line="240" w:lineRule="auto"/>
        <w:rPr>
          <w:rFonts w:ascii="Arial" w:hAnsi="Arial" w:cs="Arial"/>
          <w:b/>
        </w:rPr>
      </w:pPr>
    </w:p>
    <w:p w:rsidR="00C4669E" w:rsidRDefault="00C4669E" w:rsidP="00C4669E">
      <w:pPr>
        <w:spacing w:after="0" w:line="240" w:lineRule="auto"/>
        <w:rPr>
          <w:rFonts w:ascii="Arial" w:hAnsi="Arial" w:cs="Arial"/>
          <w:b/>
        </w:rPr>
      </w:pPr>
    </w:p>
    <w:p w:rsidR="00C4669E" w:rsidRPr="00C4669E" w:rsidRDefault="00C4669E" w:rsidP="00C4669E">
      <w:pPr>
        <w:spacing w:after="0" w:line="240" w:lineRule="auto"/>
        <w:rPr>
          <w:rFonts w:ascii="Arial" w:hAnsi="Arial" w:cs="Arial"/>
          <w:b/>
        </w:rPr>
      </w:pPr>
      <w:r w:rsidRPr="00C4669E">
        <w:rPr>
          <w:rFonts w:ascii="Arial" w:hAnsi="Arial" w:cs="Arial"/>
          <w:b/>
        </w:rPr>
        <w:t>Enquiries:</w:t>
      </w:r>
    </w:p>
    <w:p w:rsidR="00C4669E" w:rsidRPr="00C4669E" w:rsidRDefault="00C4669E" w:rsidP="00C4669E">
      <w:pPr>
        <w:spacing w:after="0" w:line="240" w:lineRule="auto"/>
        <w:rPr>
          <w:rFonts w:ascii="Arial" w:hAnsi="Arial" w:cs="Arial"/>
          <w:b/>
        </w:rPr>
      </w:pPr>
      <w:r w:rsidRPr="00C4669E">
        <w:rPr>
          <w:rFonts w:ascii="Arial" w:hAnsi="Arial" w:cs="Arial"/>
          <w:b/>
        </w:rPr>
        <w:t xml:space="preserve">Dr Thabo Mashongoane </w:t>
      </w:r>
    </w:p>
    <w:p w:rsidR="00C4669E" w:rsidRPr="00C4669E" w:rsidRDefault="00C4669E" w:rsidP="00C4669E">
      <w:pPr>
        <w:spacing w:after="0" w:line="240" w:lineRule="auto"/>
        <w:rPr>
          <w:rFonts w:ascii="Arial" w:hAnsi="Arial" w:cs="Arial"/>
          <w:b/>
        </w:rPr>
      </w:pPr>
      <w:r w:rsidRPr="00C4669E">
        <w:rPr>
          <w:rFonts w:ascii="Arial" w:hAnsi="Arial" w:cs="Arial"/>
          <w:b/>
        </w:rPr>
        <w:t>Director: National Skills Authority Secretariat</w:t>
      </w:r>
    </w:p>
    <w:p w:rsidR="00C4669E" w:rsidRPr="00C4669E" w:rsidRDefault="00C4669E" w:rsidP="00C4669E">
      <w:pPr>
        <w:spacing w:after="0" w:line="240" w:lineRule="auto"/>
        <w:rPr>
          <w:rFonts w:ascii="Arial" w:hAnsi="Arial" w:cs="Arial"/>
          <w:b/>
        </w:rPr>
      </w:pPr>
      <w:r w:rsidRPr="00C4669E">
        <w:rPr>
          <w:rFonts w:ascii="Arial" w:hAnsi="Arial" w:cs="Arial"/>
          <w:b/>
        </w:rPr>
        <w:t>Tel: 012 312 5666</w:t>
      </w:r>
    </w:p>
    <w:p w:rsidR="00C4669E" w:rsidRPr="00C4669E" w:rsidRDefault="00C4669E" w:rsidP="00C4669E">
      <w:pPr>
        <w:spacing w:after="0" w:line="240" w:lineRule="auto"/>
        <w:rPr>
          <w:rFonts w:ascii="Arial" w:hAnsi="Arial" w:cs="Arial"/>
          <w:b/>
        </w:rPr>
      </w:pPr>
      <w:r w:rsidRPr="00C4669E">
        <w:rPr>
          <w:rFonts w:ascii="Arial" w:hAnsi="Arial" w:cs="Arial"/>
          <w:b/>
        </w:rPr>
        <w:t>E-mail: Mashongoane.T@dhet.gov.za</w:t>
      </w:r>
    </w:p>
    <w:p w:rsidR="00C4669E" w:rsidRPr="00C4669E" w:rsidRDefault="00C4669E" w:rsidP="00C4669E">
      <w:pPr>
        <w:spacing w:after="0" w:line="240" w:lineRule="auto"/>
        <w:rPr>
          <w:rFonts w:ascii="Arial" w:hAnsi="Arial" w:cs="Arial"/>
          <w:b/>
        </w:rPr>
      </w:pPr>
      <w:r w:rsidRPr="00C4669E">
        <w:rPr>
          <w:rFonts w:ascii="Arial" w:hAnsi="Arial" w:cs="Arial"/>
          <w:b/>
        </w:rPr>
        <w:t>Issued by the NSA</w:t>
      </w:r>
    </w:p>
    <w:p w:rsidR="00C4669E" w:rsidRPr="00C4669E" w:rsidRDefault="00C4669E" w:rsidP="00C4669E">
      <w:pPr>
        <w:spacing w:line="240" w:lineRule="auto"/>
        <w:rPr>
          <w:rFonts w:ascii="Arial" w:hAnsi="Arial" w:cs="Arial"/>
        </w:rPr>
      </w:pPr>
      <w:r w:rsidRPr="00C4669E">
        <w:rPr>
          <w:rFonts w:ascii="Arial" w:hAnsi="Arial" w:cs="Arial"/>
        </w:rPr>
        <w:t xml:space="preserve">For more information, please visit the National Skills Authority website:  </w:t>
      </w:r>
      <w:hyperlink r:id="rId5" w:history="1">
        <w:r w:rsidRPr="00C4669E">
          <w:rPr>
            <w:rStyle w:val="Hyperlink"/>
            <w:rFonts w:ascii="Arial" w:hAnsi="Arial" w:cs="Arial"/>
          </w:rPr>
          <w:t>www.nationalskillsauthority.org.za</w:t>
        </w:r>
      </w:hyperlink>
    </w:p>
    <w:p w:rsidR="00767F1C" w:rsidRPr="00C4669E" w:rsidRDefault="00767F1C" w:rsidP="005C493A">
      <w:pPr>
        <w:jc w:val="both"/>
        <w:rPr>
          <w:rFonts w:ascii="Arial" w:hAnsi="Arial" w:cs="Arial"/>
        </w:rPr>
      </w:pPr>
    </w:p>
    <w:sectPr w:rsidR="00767F1C" w:rsidRPr="00C46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37"/>
    <w:rsid w:val="00141A11"/>
    <w:rsid w:val="001E5C6A"/>
    <w:rsid w:val="00320637"/>
    <w:rsid w:val="00391DC2"/>
    <w:rsid w:val="004B5E21"/>
    <w:rsid w:val="004E7C61"/>
    <w:rsid w:val="00526C1D"/>
    <w:rsid w:val="005A790B"/>
    <w:rsid w:val="005C493A"/>
    <w:rsid w:val="00626455"/>
    <w:rsid w:val="00644D36"/>
    <w:rsid w:val="0065054C"/>
    <w:rsid w:val="00662FE1"/>
    <w:rsid w:val="006A2D20"/>
    <w:rsid w:val="00760510"/>
    <w:rsid w:val="00767F1C"/>
    <w:rsid w:val="00951E7B"/>
    <w:rsid w:val="009B310C"/>
    <w:rsid w:val="00A04835"/>
    <w:rsid w:val="00A819B9"/>
    <w:rsid w:val="00C4669E"/>
    <w:rsid w:val="00D65CAA"/>
    <w:rsid w:val="00E23EAD"/>
    <w:rsid w:val="00F24E12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4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41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4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41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lskillsauthority.org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Somo.William</dc:creator>
  <cp:lastModifiedBy>Mangubewa,Sally</cp:lastModifiedBy>
  <cp:revision>7</cp:revision>
  <dcterms:created xsi:type="dcterms:W3CDTF">2017-03-27T09:00:00Z</dcterms:created>
  <dcterms:modified xsi:type="dcterms:W3CDTF">2017-03-27T12:48:00Z</dcterms:modified>
</cp:coreProperties>
</file>