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62BBF" w14:textId="77777777" w:rsidR="000434BA" w:rsidRPr="00FF7160" w:rsidRDefault="000434BA" w:rsidP="000434BA">
      <w:pPr>
        <w:spacing w:after="0" w:line="240" w:lineRule="auto"/>
        <w:jc w:val="center"/>
        <w:rPr>
          <w:lang w:val="en-GB"/>
        </w:rPr>
      </w:pPr>
      <w:bookmarkStart w:id="0" w:name="_GoBack"/>
      <w:bookmarkEnd w:id="0"/>
      <w:r w:rsidRPr="00FF7160">
        <w:rPr>
          <w:noProof/>
          <w:lang w:val="en-US"/>
        </w:rPr>
        <w:drawing>
          <wp:inline distT="0" distB="0" distL="0" distR="0" wp14:anchorId="61D1F26E" wp14:editId="4E4E4D94">
            <wp:extent cx="1828800" cy="1828800"/>
            <wp:effectExtent l="0" t="0" r="0" b="0"/>
            <wp:docPr id="3" name="Picture 3" descr="http://www.nationalskillsauthority.org.za/wp-content/uploads/2015/12/logo-nsa-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tionalskillsauthority.org.za/wp-content/uploads/2015/12/logo-nsa-150x15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3562" cy="1833562"/>
                    </a:xfrm>
                    <a:prstGeom prst="rect">
                      <a:avLst/>
                    </a:prstGeom>
                    <a:noFill/>
                    <a:ln>
                      <a:noFill/>
                    </a:ln>
                  </pic:spPr>
                </pic:pic>
              </a:graphicData>
            </a:graphic>
          </wp:inline>
        </w:drawing>
      </w:r>
    </w:p>
    <w:p w14:paraId="15C9275D" w14:textId="77777777" w:rsidR="000434BA" w:rsidRPr="00FF7160" w:rsidRDefault="000434BA" w:rsidP="000434BA">
      <w:pPr>
        <w:spacing w:after="0"/>
        <w:jc w:val="center"/>
        <w:rPr>
          <w:b/>
          <w:sz w:val="40"/>
          <w:szCs w:val="40"/>
          <w:lang w:val="en-GB"/>
        </w:rPr>
      </w:pPr>
      <w:r w:rsidRPr="00FF7160">
        <w:rPr>
          <w:b/>
          <w:sz w:val="40"/>
          <w:szCs w:val="40"/>
          <w:lang w:val="en-GB"/>
        </w:rPr>
        <w:t>EVALUATION OF NATIONAL SKILLS DEVELOPMENT STRATEGY (NSDS III) 2011-2016</w:t>
      </w:r>
    </w:p>
    <w:p w14:paraId="60F7E09E" w14:textId="77777777" w:rsidR="000434BA" w:rsidRPr="00FF7160" w:rsidRDefault="000434BA" w:rsidP="000434BA">
      <w:pPr>
        <w:spacing w:after="0" w:line="240" w:lineRule="auto"/>
        <w:rPr>
          <w:lang w:val="en-GB"/>
        </w:rPr>
      </w:pPr>
    </w:p>
    <w:p w14:paraId="2070F254" w14:textId="77777777" w:rsidR="000434BA" w:rsidRPr="00FF7160" w:rsidRDefault="000434BA" w:rsidP="000434BA">
      <w:pPr>
        <w:jc w:val="center"/>
        <w:rPr>
          <w:b/>
          <w:sz w:val="40"/>
          <w:szCs w:val="40"/>
          <w:lang w:val="en-GB"/>
        </w:rPr>
      </w:pPr>
    </w:p>
    <w:p w14:paraId="280D4DB2" w14:textId="5008AA9D" w:rsidR="000434BA" w:rsidRPr="00FF7160" w:rsidRDefault="000B2759" w:rsidP="000434BA">
      <w:pPr>
        <w:jc w:val="center"/>
        <w:rPr>
          <w:b/>
          <w:i/>
          <w:sz w:val="40"/>
          <w:szCs w:val="40"/>
          <w:lang w:val="en-GB"/>
        </w:rPr>
      </w:pPr>
      <w:r>
        <w:rPr>
          <w:b/>
          <w:sz w:val="40"/>
          <w:szCs w:val="40"/>
          <w:lang w:val="en-GB"/>
        </w:rPr>
        <w:t>Theory of Change</w:t>
      </w:r>
    </w:p>
    <w:p w14:paraId="216A5C97" w14:textId="77777777" w:rsidR="000434BA" w:rsidRPr="00FF7160" w:rsidRDefault="000434BA" w:rsidP="000434BA">
      <w:pPr>
        <w:jc w:val="center"/>
        <w:rPr>
          <w:b/>
          <w:sz w:val="40"/>
          <w:szCs w:val="40"/>
          <w:lang w:val="en-GB"/>
        </w:rPr>
      </w:pPr>
    </w:p>
    <w:p w14:paraId="086EC5CE" w14:textId="77777777" w:rsidR="000434BA" w:rsidRPr="00FF7160" w:rsidRDefault="000434BA" w:rsidP="000434BA">
      <w:pPr>
        <w:jc w:val="center"/>
        <w:rPr>
          <w:b/>
          <w:sz w:val="40"/>
          <w:szCs w:val="40"/>
          <w:lang w:val="en-GB"/>
        </w:rPr>
      </w:pPr>
      <w:r w:rsidRPr="00FF7160">
        <w:rPr>
          <w:b/>
          <w:sz w:val="40"/>
          <w:szCs w:val="40"/>
          <w:lang w:val="en-GB"/>
        </w:rPr>
        <w:t>Submitted by</w:t>
      </w:r>
    </w:p>
    <w:p w14:paraId="1CA7251D" w14:textId="77777777" w:rsidR="000434BA" w:rsidRPr="00FF7160" w:rsidRDefault="000434BA" w:rsidP="000434BA">
      <w:pPr>
        <w:spacing w:after="0" w:line="240" w:lineRule="auto"/>
        <w:rPr>
          <w:lang w:val="en-GB"/>
        </w:rPr>
      </w:pPr>
    </w:p>
    <w:p w14:paraId="534782A1" w14:textId="77777777" w:rsidR="000434BA" w:rsidRPr="00FF7160" w:rsidRDefault="000434BA" w:rsidP="000434BA">
      <w:pPr>
        <w:jc w:val="center"/>
        <w:rPr>
          <w:noProof/>
          <w:lang w:val="en-GB" w:eastAsia="en-ZA"/>
        </w:rPr>
      </w:pPr>
      <w:bookmarkStart w:id="1" w:name="_Toc409536682"/>
      <w:r w:rsidRPr="00FF7160">
        <w:rPr>
          <w:noProof/>
          <w:lang w:val="en-US"/>
        </w:rPr>
        <w:drawing>
          <wp:inline distT="0" distB="0" distL="0" distR="0" wp14:anchorId="2D02F957" wp14:editId="66243886">
            <wp:extent cx="3086100" cy="675066"/>
            <wp:effectExtent l="0" t="0" r="0" b="0"/>
            <wp:docPr id="1" name="Picture 1" descr="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9401" cy="684538"/>
                    </a:xfrm>
                    <a:prstGeom prst="rect">
                      <a:avLst/>
                    </a:prstGeom>
                    <a:noFill/>
                    <a:ln>
                      <a:noFill/>
                    </a:ln>
                  </pic:spPr>
                </pic:pic>
              </a:graphicData>
            </a:graphic>
          </wp:inline>
        </w:drawing>
      </w:r>
      <w:bookmarkEnd w:id="1"/>
    </w:p>
    <w:p w14:paraId="796B440F" w14:textId="77777777" w:rsidR="000434BA" w:rsidRPr="00FF7160" w:rsidRDefault="000434BA" w:rsidP="000434BA">
      <w:pPr>
        <w:spacing w:after="0" w:line="240" w:lineRule="auto"/>
        <w:rPr>
          <w:lang w:val="en-GB"/>
        </w:rPr>
      </w:pPr>
    </w:p>
    <w:p w14:paraId="231EF108" w14:textId="77777777" w:rsidR="000434BA" w:rsidRPr="00FF7160" w:rsidRDefault="000434BA" w:rsidP="000434BA">
      <w:pPr>
        <w:jc w:val="center"/>
        <w:rPr>
          <w:b/>
          <w:sz w:val="40"/>
          <w:szCs w:val="40"/>
          <w:lang w:val="en-GB"/>
        </w:rPr>
      </w:pPr>
      <w:r w:rsidRPr="00FF7160">
        <w:rPr>
          <w:b/>
          <w:sz w:val="40"/>
          <w:szCs w:val="40"/>
          <w:lang w:val="en-GB"/>
        </w:rPr>
        <w:t>And</w:t>
      </w:r>
    </w:p>
    <w:p w14:paraId="751183DD" w14:textId="77777777" w:rsidR="000434BA" w:rsidRPr="00FF7160" w:rsidRDefault="000434BA" w:rsidP="000434BA">
      <w:pPr>
        <w:spacing w:after="0" w:line="240" w:lineRule="auto"/>
        <w:jc w:val="center"/>
        <w:rPr>
          <w:lang w:val="en-GB"/>
        </w:rPr>
      </w:pPr>
      <w:r w:rsidRPr="00FF7160">
        <w:rPr>
          <w:noProof/>
          <w:lang w:val="en-US"/>
        </w:rPr>
        <w:drawing>
          <wp:inline distT="0" distB="0" distL="0" distR="0" wp14:anchorId="1699562E" wp14:editId="138BF2F6">
            <wp:extent cx="2324100" cy="165295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0531" cy="1657532"/>
                    </a:xfrm>
                    <a:prstGeom prst="rect">
                      <a:avLst/>
                    </a:prstGeom>
                    <a:noFill/>
                    <a:ln>
                      <a:noFill/>
                    </a:ln>
                  </pic:spPr>
                </pic:pic>
              </a:graphicData>
            </a:graphic>
          </wp:inline>
        </w:drawing>
      </w:r>
    </w:p>
    <w:p w14:paraId="3D0764F5" w14:textId="558C8E39" w:rsidR="005D62F3" w:rsidRPr="0079651A" w:rsidRDefault="00B00FFF" w:rsidP="0079651A">
      <w:pPr>
        <w:pStyle w:val="Heading1"/>
      </w:pPr>
      <w:bookmarkStart w:id="2" w:name="_Toc477956872"/>
      <w:bookmarkStart w:id="3" w:name="_Toc479577016"/>
      <w:r w:rsidRPr="005F0F0F">
        <w:lastRenderedPageBreak/>
        <w:t xml:space="preserve">The Philosophy behind NSDSIII </w:t>
      </w:r>
      <w:r w:rsidRPr="002714BE">
        <w:t>– its Theory of Change</w:t>
      </w:r>
      <w:bookmarkEnd w:id="2"/>
      <w:bookmarkEnd w:id="3"/>
      <w:r w:rsidRPr="002714BE">
        <w:t xml:space="preserve"> </w:t>
      </w:r>
      <w:r w:rsidR="006255BE">
        <w:rPr>
          <w:rFonts w:ascii="Times New Roman" w:hAnsi="Times New Roman" w:cs="Times New Roman"/>
          <w:szCs w:val="24"/>
        </w:rPr>
        <w:tab/>
      </w:r>
    </w:p>
    <w:p w14:paraId="0BA7FBAC" w14:textId="77777777" w:rsidR="005D62F3" w:rsidRDefault="00B00FFF" w:rsidP="00B00FFF">
      <w:pPr>
        <w:spacing w:line="360" w:lineRule="auto"/>
        <w:rPr>
          <w:rFonts w:ascii="Times New Roman" w:hAnsi="Times New Roman" w:cs="Times New Roman"/>
          <w:szCs w:val="24"/>
          <w:lang w:val="en-GB"/>
        </w:rPr>
      </w:pPr>
      <w:r w:rsidRPr="00835DAC">
        <w:rPr>
          <w:rFonts w:ascii="Times New Roman" w:hAnsi="Times New Roman" w:cs="Times New Roman"/>
          <w:szCs w:val="24"/>
          <w:lang w:val="en-GB"/>
        </w:rPr>
        <w:t>NSDSIII was developed in 2010/11 and at the time there was no explicit Theory of Change (TOC) developed for the strategy. In the process of preparing to evaluate the strategy it was agreed with the NSA that a TOC would be developed. This is therefore a TOC developed in retrospect. It attempts to set out as clearly as possible what policy makers had in mind when developing the strategy, without trying to impose outputs, outcomes and impact that were not part of the thinking in formulating NSDS III.  It tries to answer the questions of “What were the outputs that the strategy envisaged, and what were the immediate, inter-mediate and final outcomes that were intended and what impact was intended?” Skills Development is part of a wider HRD strategy for the country, which in turn is part of a wider development plan for the economy and society.</w:t>
      </w:r>
    </w:p>
    <w:p w14:paraId="4CB82769" w14:textId="1E23D93D" w:rsidR="00B00FFF" w:rsidRPr="00835DAC" w:rsidRDefault="00B00FFF" w:rsidP="00B00FFF">
      <w:pPr>
        <w:spacing w:line="360" w:lineRule="auto"/>
        <w:rPr>
          <w:rFonts w:ascii="Times New Roman" w:hAnsi="Times New Roman" w:cs="Times New Roman"/>
          <w:szCs w:val="24"/>
          <w:lang w:val="en-GB"/>
        </w:rPr>
      </w:pPr>
      <w:r w:rsidRPr="00835DAC">
        <w:rPr>
          <w:rFonts w:ascii="Times New Roman" w:hAnsi="Times New Roman" w:cs="Times New Roman"/>
          <w:szCs w:val="24"/>
          <w:lang w:val="en-GB"/>
        </w:rPr>
        <w:t xml:space="preserve">It is important that the TOC is correctly located and that the assumptions underpinning the strategy are clearly spelt out. The evaluation must measure not only the progress in relation to intended outputs, outcomes and impact, but must test the assumptions and measure the extent to which progress was aided or inhibited by the correctness or otherwise of the assumptions made. </w:t>
      </w:r>
    </w:p>
    <w:p w14:paraId="4FCCD7FC" w14:textId="264510E4" w:rsidR="00B00FFF" w:rsidRPr="002714BE" w:rsidRDefault="00B00FFF" w:rsidP="00B00FFF">
      <w:pPr>
        <w:pStyle w:val="Heading2"/>
      </w:pPr>
      <w:bookmarkStart w:id="4" w:name="_Toc477184197"/>
      <w:bookmarkStart w:id="5" w:name="_Toc477956873"/>
      <w:bookmarkStart w:id="6" w:name="_Toc479577017"/>
      <w:bookmarkStart w:id="7" w:name="OLE_LINK1"/>
      <w:r w:rsidRPr="002714BE">
        <w:t>Methodology</w:t>
      </w:r>
      <w:bookmarkEnd w:id="4"/>
      <w:r w:rsidRPr="002714BE">
        <w:t xml:space="preserve"> for development of </w:t>
      </w:r>
      <w:bookmarkEnd w:id="5"/>
      <w:r w:rsidR="00BE7059" w:rsidRPr="002714BE">
        <w:t>T</w:t>
      </w:r>
      <w:r w:rsidR="00BE7059">
        <w:t>O</w:t>
      </w:r>
      <w:r w:rsidR="00BE7059" w:rsidRPr="002714BE">
        <w:t>C</w:t>
      </w:r>
      <w:bookmarkEnd w:id="6"/>
      <w:r w:rsidR="00BE7059" w:rsidRPr="002714BE">
        <w:t xml:space="preserve"> </w:t>
      </w:r>
    </w:p>
    <w:p w14:paraId="0086CD85" w14:textId="77777777" w:rsidR="00B00FFF" w:rsidRPr="00835DAC" w:rsidRDefault="00B00FFF" w:rsidP="00B00FFF">
      <w:pPr>
        <w:spacing w:line="360" w:lineRule="auto"/>
        <w:rPr>
          <w:rFonts w:ascii="Times New Roman" w:hAnsi="Times New Roman" w:cs="Times New Roman"/>
          <w:szCs w:val="24"/>
          <w:lang w:val="en-GB"/>
        </w:rPr>
      </w:pPr>
      <w:r w:rsidRPr="00835DAC">
        <w:rPr>
          <w:rFonts w:ascii="Times New Roman" w:hAnsi="Times New Roman" w:cs="Times New Roman"/>
          <w:szCs w:val="24"/>
          <w:lang w:val="en-GB"/>
        </w:rPr>
        <w:t>The development of the TOC is the result of the following process:</w:t>
      </w:r>
    </w:p>
    <w:p w14:paraId="4E871B2B" w14:textId="77777777" w:rsidR="00B00FFF" w:rsidRPr="004504CF" w:rsidRDefault="00B00FFF" w:rsidP="005D62F3">
      <w:pPr>
        <w:pStyle w:val="ListParagraph"/>
      </w:pPr>
      <w:r w:rsidRPr="004504CF">
        <w:t>Extensive desk research was conducted including a review of NSDSI and II, as well as NSDSIII, the PSET White Paper, SETA Grant Regulations, SSP and other guidelines issued by DHET and a number of reviews and evaluations considered relevant to the strategy.</w:t>
      </w:r>
    </w:p>
    <w:p w14:paraId="302A0EC6" w14:textId="77777777" w:rsidR="00B00FFF" w:rsidRPr="004504CF" w:rsidRDefault="00B00FFF" w:rsidP="005D62F3">
      <w:pPr>
        <w:pStyle w:val="ListParagraph"/>
      </w:pPr>
      <w:r w:rsidRPr="004504CF">
        <w:t xml:space="preserve">Interviews were conducted with key national stakeholders who were either directly involved in, or closely connected to, the process of developing NSDSIII. </w:t>
      </w:r>
    </w:p>
    <w:p w14:paraId="5885922D" w14:textId="77777777" w:rsidR="00B00FFF" w:rsidRPr="004504CF" w:rsidRDefault="00B00FFF" w:rsidP="005D62F3">
      <w:pPr>
        <w:pStyle w:val="ListParagraph"/>
      </w:pPr>
      <w:r w:rsidRPr="004504CF">
        <w:t xml:space="preserve">The MAS/REAL research team brainstormed NSDSIII and the desk work results and fed the team’s understanding of the strategy into the TOC process. </w:t>
      </w:r>
    </w:p>
    <w:p w14:paraId="1745B6CB" w14:textId="77777777" w:rsidR="00B00FFF" w:rsidRPr="004504CF" w:rsidRDefault="00B00FFF" w:rsidP="005D62F3">
      <w:pPr>
        <w:pStyle w:val="ListParagraph"/>
      </w:pPr>
      <w:r w:rsidRPr="004504CF">
        <w:t xml:space="preserve">NSDSIII was unpacked and the specific goals and outputs set out in the strategy were given TOC names. In other words, everything was classified in terms of being an output, immediate outcome, inter-mediate outcome and impact. It should be noted that in some cases outputs that appear as such in the strategy have been reclassified in the TOC to be outcomes. The aim was to show the flow from outcome to immediate and inter-mediate outcomes and then ultimately the impact intended. </w:t>
      </w:r>
    </w:p>
    <w:p w14:paraId="6882598B" w14:textId="77777777" w:rsidR="00B00FFF" w:rsidRPr="004504CF" w:rsidRDefault="00B00FFF" w:rsidP="005D62F3">
      <w:pPr>
        <w:pStyle w:val="ListParagraph"/>
      </w:pPr>
      <w:r w:rsidRPr="004504CF">
        <w:t xml:space="preserve">Gaps were identified in the text of NSDSIII. In other words, where the strategy was </w:t>
      </w:r>
      <w:r w:rsidRPr="004504CF">
        <w:lastRenderedPageBreak/>
        <w:t xml:space="preserve">specific about a goal, but less clear on specific outputs or inter-mediate outcomes, this was identified as a gap and the desk research and interviews were used to guide the filling of the gaps. New outputs, outcomes and impacts were developed and presented as additions or interpretations by the research team. </w:t>
      </w:r>
    </w:p>
    <w:p w14:paraId="4CB9C8D7" w14:textId="77777777" w:rsidR="005D62F3" w:rsidRDefault="00B00FFF" w:rsidP="005D62F3">
      <w:pPr>
        <w:pStyle w:val="ListParagraph"/>
      </w:pPr>
      <w:r w:rsidRPr="004504CF">
        <w:t xml:space="preserve">A draft TOC was prepared and presented to an NSA workshop in February 2017. The NSA gave guidance on the interpreted areas, and on the process for finalising the TOC as part of the wider literature and document review. </w:t>
      </w:r>
    </w:p>
    <w:p w14:paraId="6BB2147E" w14:textId="4B11F9C6" w:rsidR="00B00FFF" w:rsidRPr="004504CF" w:rsidRDefault="00B00FFF" w:rsidP="005D62F3">
      <w:pPr>
        <w:pStyle w:val="ListParagraph"/>
        <w:numPr>
          <w:ilvl w:val="0"/>
          <w:numId w:val="0"/>
        </w:numPr>
        <w:ind w:left="720"/>
      </w:pPr>
    </w:p>
    <w:p w14:paraId="29C90E4D" w14:textId="424C4588" w:rsidR="00B00FFF" w:rsidRPr="00F409EB" w:rsidRDefault="00B00FFF" w:rsidP="00F409EB">
      <w:pPr>
        <w:pStyle w:val="Heading2"/>
      </w:pPr>
      <w:bookmarkStart w:id="8" w:name="_Toc477956874"/>
      <w:bookmarkStart w:id="9" w:name="_Toc479577018"/>
      <w:bookmarkEnd w:id="7"/>
      <w:r w:rsidRPr="00F409EB">
        <w:t>Theory of Change</w:t>
      </w:r>
      <w:bookmarkEnd w:id="8"/>
      <w:bookmarkEnd w:id="9"/>
    </w:p>
    <w:p w14:paraId="21366270" w14:textId="77777777" w:rsidR="00B00FFF" w:rsidRPr="00835DAC" w:rsidRDefault="00B00FFF" w:rsidP="00F409EB">
      <w:pPr>
        <w:spacing w:line="360" w:lineRule="auto"/>
        <w:rPr>
          <w:rFonts w:ascii="Times New Roman" w:hAnsi="Times New Roman" w:cs="Times New Roman"/>
          <w:szCs w:val="24"/>
          <w:lang w:val="en-GB"/>
        </w:rPr>
      </w:pPr>
      <w:r w:rsidRPr="00835DAC">
        <w:rPr>
          <w:rFonts w:ascii="Times New Roman" w:hAnsi="Times New Roman" w:cs="Times New Roman"/>
          <w:szCs w:val="24"/>
          <w:lang w:val="en-GB"/>
        </w:rPr>
        <w:t>The TOC for NSDSIII is set out in Excel format in the pages below. These pages are designed around an interpretation of the NSDS III goals which can broadly be understood as:</w:t>
      </w:r>
    </w:p>
    <w:p w14:paraId="3E6B1A96" w14:textId="77777777" w:rsidR="00B00FFF" w:rsidRPr="004504CF" w:rsidRDefault="00B00FFF" w:rsidP="005D62F3">
      <w:pPr>
        <w:pStyle w:val="ListParagraph"/>
        <w:numPr>
          <w:ilvl w:val="0"/>
          <w:numId w:val="2"/>
        </w:numPr>
      </w:pPr>
      <w:r w:rsidRPr="004504CF">
        <w:t>Improving the quality of skills planning and supply and demand forecasting in order to improve planning and enable resources to be allocated to achieve greater impact.</w:t>
      </w:r>
    </w:p>
    <w:p w14:paraId="2DE7B34D" w14:textId="77777777" w:rsidR="00B00FFF" w:rsidRPr="004504CF" w:rsidRDefault="00B00FFF" w:rsidP="005D62F3">
      <w:pPr>
        <w:pStyle w:val="ListParagraph"/>
        <w:numPr>
          <w:ilvl w:val="0"/>
          <w:numId w:val="2"/>
        </w:numPr>
      </w:pPr>
      <w:r w:rsidRPr="004504CF">
        <w:t>Expansion of provision of lower and middle level skills, with a particular focus on artisans and the role of public TVET colleges in the delivery of these skills.</w:t>
      </w:r>
    </w:p>
    <w:p w14:paraId="2CD65D67" w14:textId="77777777" w:rsidR="00B00FFF" w:rsidRPr="004504CF" w:rsidRDefault="00B00FFF" w:rsidP="005D62F3">
      <w:pPr>
        <w:pStyle w:val="ListParagraph"/>
        <w:numPr>
          <w:ilvl w:val="0"/>
          <w:numId w:val="2"/>
        </w:numPr>
      </w:pPr>
      <w:r w:rsidRPr="004504CF">
        <w:t>Improving the engagement of higher education and research institutions in skills planning, the provision of higher level skills and industry-focused research and innovation.</w:t>
      </w:r>
    </w:p>
    <w:p w14:paraId="36C9F662" w14:textId="77777777" w:rsidR="00B00FFF" w:rsidRPr="004504CF" w:rsidRDefault="00B00FFF" w:rsidP="005D62F3">
      <w:pPr>
        <w:pStyle w:val="ListParagraph"/>
        <w:numPr>
          <w:ilvl w:val="0"/>
          <w:numId w:val="2"/>
        </w:numPr>
      </w:pPr>
      <w:r w:rsidRPr="004504CF">
        <w:t>Focusing on skills interventions for unemployed young people to provide them with basic skills and to enable them to gain entry to the labour market.</w:t>
      </w:r>
    </w:p>
    <w:p w14:paraId="7CFDEFC1" w14:textId="77777777" w:rsidR="00B00FFF" w:rsidRPr="004504CF" w:rsidRDefault="00B00FFF" w:rsidP="005D62F3">
      <w:pPr>
        <w:pStyle w:val="ListParagraph"/>
        <w:numPr>
          <w:ilvl w:val="0"/>
          <w:numId w:val="2"/>
        </w:numPr>
      </w:pPr>
      <w:r w:rsidRPr="004504CF">
        <w:t>Supporting small and micro enterprises, including NGOs and cooperatives with skills development so as to expand their capacity</w:t>
      </w:r>
    </w:p>
    <w:p w14:paraId="34E3BD5E" w14:textId="77777777" w:rsidR="00B00FFF" w:rsidRPr="004504CF" w:rsidRDefault="00B00FFF" w:rsidP="005D62F3">
      <w:pPr>
        <w:pStyle w:val="ListParagraph"/>
        <w:numPr>
          <w:ilvl w:val="0"/>
          <w:numId w:val="2"/>
        </w:numPr>
      </w:pPr>
      <w:r w:rsidRPr="004504CF">
        <w:t>Targeting skills development to build public sector capacity to improve service delivery, improve capacity to intervene in the economy and build a developmental and capable state.</w:t>
      </w:r>
    </w:p>
    <w:p w14:paraId="1FE49B8A" w14:textId="77777777" w:rsidR="00B00FFF" w:rsidRPr="004504CF" w:rsidRDefault="00B00FFF" w:rsidP="005D62F3">
      <w:pPr>
        <w:pStyle w:val="ListParagraph"/>
        <w:numPr>
          <w:ilvl w:val="0"/>
          <w:numId w:val="2"/>
        </w:numPr>
      </w:pPr>
      <w:r w:rsidRPr="004504CF">
        <w:t xml:space="preserve">Use career development services to improve labour market information so as to improve the choices made by young people and steer them to become qualified for occupations in demand in the economy. </w:t>
      </w:r>
    </w:p>
    <w:p w14:paraId="202FAF30" w14:textId="77777777" w:rsidR="00B00FFF" w:rsidRPr="00835DAC" w:rsidRDefault="00B00FFF" w:rsidP="00F409EB">
      <w:pPr>
        <w:spacing w:line="360" w:lineRule="auto"/>
        <w:rPr>
          <w:rFonts w:ascii="Times New Roman" w:hAnsi="Times New Roman" w:cs="Times New Roman"/>
          <w:b/>
          <w:i/>
          <w:color w:val="000000"/>
          <w:spacing w:val="0"/>
          <w:szCs w:val="24"/>
          <w:lang w:val="en-GB"/>
        </w:rPr>
      </w:pPr>
      <w:r w:rsidRPr="00835DAC">
        <w:rPr>
          <w:rFonts w:ascii="Times New Roman" w:hAnsi="Times New Roman" w:cs="Times New Roman"/>
          <w:szCs w:val="24"/>
          <w:lang w:val="en-GB"/>
        </w:rPr>
        <w:t>By pursuing all of the above goals, the vision of the NSDS will be achieved, namely:</w:t>
      </w:r>
      <w:r w:rsidRPr="00835DAC">
        <w:rPr>
          <w:rFonts w:ascii="Times New Roman" w:hAnsi="Times New Roman" w:cs="Times New Roman"/>
          <w:color w:val="000000"/>
          <w:spacing w:val="0"/>
          <w:szCs w:val="24"/>
          <w:lang w:val="en-GB"/>
        </w:rPr>
        <w:t xml:space="preserve"> </w:t>
      </w:r>
      <w:r w:rsidRPr="00835DAC">
        <w:rPr>
          <w:rFonts w:ascii="Times New Roman" w:hAnsi="Times New Roman" w:cs="Times New Roman"/>
          <w:b/>
          <w:i/>
          <w:color w:val="000000"/>
          <w:spacing w:val="0"/>
          <w:szCs w:val="24"/>
          <w:lang w:val="en-GB"/>
        </w:rPr>
        <w:t>A skilled and capable workforce that shares in, and contributes to, the benefits and opportunities of economic expansion and an inclusive growth path</w:t>
      </w:r>
    </w:p>
    <w:p w14:paraId="606084CD" w14:textId="77777777" w:rsidR="00B00FFF" w:rsidRPr="00835DAC" w:rsidRDefault="00B00FFF" w:rsidP="00F409EB">
      <w:pPr>
        <w:spacing w:line="360" w:lineRule="auto"/>
        <w:rPr>
          <w:rFonts w:ascii="Times New Roman" w:hAnsi="Times New Roman" w:cs="Times New Roman"/>
          <w:szCs w:val="24"/>
          <w:lang w:val="en-GB"/>
        </w:rPr>
      </w:pPr>
      <w:r w:rsidRPr="00835DAC">
        <w:rPr>
          <w:rFonts w:ascii="Times New Roman" w:hAnsi="Times New Roman" w:cs="Times New Roman"/>
          <w:szCs w:val="24"/>
          <w:lang w:val="en-GB"/>
        </w:rPr>
        <w:lastRenderedPageBreak/>
        <w:t xml:space="preserve">The following table should be read from left to right, so as to see the intention on the left, intended progress in the middle and intended impact on the right. </w:t>
      </w:r>
    </w:p>
    <w:p w14:paraId="71D3876F" w14:textId="77777777" w:rsidR="00B00FFF" w:rsidRPr="00835DAC" w:rsidRDefault="00B00FFF" w:rsidP="00B00FFF">
      <w:pPr>
        <w:spacing w:before="0" w:after="0" w:line="360" w:lineRule="auto"/>
        <w:jc w:val="left"/>
        <w:rPr>
          <w:rFonts w:ascii="Times New Roman" w:hAnsi="Times New Roman" w:cs="Times New Roman"/>
          <w:szCs w:val="24"/>
          <w:lang w:val="en-GB"/>
        </w:rPr>
        <w:sectPr w:rsidR="00B00FFF" w:rsidRPr="00835DAC" w:rsidSect="003C5945">
          <w:headerReference w:type="default" r:id="rId10"/>
          <w:footerReference w:type="even" r:id="rId11"/>
          <w:footerReference w:type="default" r:id="rId12"/>
          <w:pgSz w:w="11900" w:h="16840"/>
          <w:pgMar w:top="1440" w:right="1440" w:bottom="1440" w:left="1440" w:header="708" w:footer="708" w:gutter="0"/>
          <w:cols w:space="708"/>
          <w:titlePg/>
          <w:docGrid w:linePitch="360"/>
        </w:sectPr>
      </w:pPr>
    </w:p>
    <w:tbl>
      <w:tblPr>
        <w:tblW w:w="13598" w:type="dxa"/>
        <w:tblLayout w:type="fixed"/>
        <w:tblLook w:val="04A0" w:firstRow="1" w:lastRow="0" w:firstColumn="1" w:lastColumn="0" w:noHBand="0" w:noVBand="1"/>
      </w:tblPr>
      <w:tblGrid>
        <w:gridCol w:w="2259"/>
        <w:gridCol w:w="2267"/>
        <w:gridCol w:w="2268"/>
        <w:gridCol w:w="2268"/>
        <w:gridCol w:w="2268"/>
        <w:gridCol w:w="2268"/>
      </w:tblGrid>
      <w:tr w:rsidR="003C5945" w:rsidRPr="00FF7160" w14:paraId="6D5DE695" w14:textId="77777777" w:rsidTr="007B4A3D">
        <w:trPr>
          <w:trHeight w:val="920"/>
        </w:trPr>
        <w:tc>
          <w:tcPr>
            <w:tcW w:w="2259" w:type="dxa"/>
            <w:tcBorders>
              <w:top w:val="single" w:sz="8" w:space="0" w:color="auto"/>
              <w:left w:val="single" w:sz="8" w:space="0" w:color="auto"/>
              <w:bottom w:val="single" w:sz="8" w:space="0" w:color="auto"/>
              <w:right w:val="single" w:sz="8" w:space="0" w:color="auto"/>
            </w:tcBorders>
            <w:shd w:val="clear" w:color="000000" w:fill="E7E6E6"/>
            <w:vAlign w:val="center"/>
            <w:hideMark/>
          </w:tcPr>
          <w:p w14:paraId="6CC22E6F" w14:textId="77777777" w:rsidR="003C5945" w:rsidRPr="00835DAC" w:rsidRDefault="003C5945" w:rsidP="00086BEB">
            <w:pPr>
              <w:spacing w:before="0" w:after="0" w:line="240" w:lineRule="auto"/>
              <w:jc w:val="left"/>
              <w:rPr>
                <w:rFonts w:ascii="Calibri" w:hAnsi="Calibri" w:cs="Times New Roman"/>
                <w:b/>
                <w:bCs/>
                <w:color w:val="000000"/>
                <w:spacing w:val="0"/>
                <w:szCs w:val="24"/>
                <w:lang w:val="en-GB"/>
              </w:rPr>
            </w:pPr>
            <w:r w:rsidRPr="00835DAC">
              <w:rPr>
                <w:rFonts w:ascii="Calibri" w:hAnsi="Calibri" w:cs="Times New Roman"/>
                <w:b/>
                <w:bCs/>
                <w:color w:val="000000"/>
                <w:spacing w:val="0"/>
                <w:szCs w:val="24"/>
                <w:lang w:val="en-GB"/>
              </w:rPr>
              <w:lastRenderedPageBreak/>
              <w:t>Strategic focus area</w:t>
            </w:r>
          </w:p>
        </w:tc>
        <w:tc>
          <w:tcPr>
            <w:tcW w:w="2267" w:type="dxa"/>
            <w:tcBorders>
              <w:top w:val="single" w:sz="8" w:space="0" w:color="auto"/>
              <w:left w:val="nil"/>
              <w:bottom w:val="single" w:sz="8" w:space="0" w:color="auto"/>
              <w:right w:val="single" w:sz="8" w:space="0" w:color="auto"/>
            </w:tcBorders>
            <w:shd w:val="clear" w:color="000000" w:fill="BFBFBF"/>
            <w:vAlign w:val="center"/>
            <w:hideMark/>
          </w:tcPr>
          <w:p w14:paraId="707C48F0" w14:textId="77777777" w:rsidR="003C5945" w:rsidRPr="00835DAC" w:rsidRDefault="003C5945" w:rsidP="00086BEB">
            <w:pPr>
              <w:spacing w:before="0" w:after="0" w:line="240" w:lineRule="auto"/>
              <w:jc w:val="center"/>
              <w:rPr>
                <w:rFonts w:ascii="Calibri" w:hAnsi="Calibri" w:cs="Times New Roman"/>
                <w:b/>
                <w:bCs/>
                <w:color w:val="000000"/>
                <w:spacing w:val="0"/>
                <w:sz w:val="22"/>
                <w:lang w:val="en-GB"/>
              </w:rPr>
            </w:pPr>
            <w:r w:rsidRPr="00835DAC">
              <w:rPr>
                <w:rFonts w:ascii="Calibri" w:hAnsi="Calibri" w:cs="Times New Roman"/>
                <w:b/>
                <w:bCs/>
                <w:color w:val="000000"/>
                <w:spacing w:val="0"/>
                <w:sz w:val="22"/>
                <w:lang w:val="en-GB"/>
              </w:rPr>
              <w:t>OUTPUTS</w:t>
            </w:r>
          </w:p>
        </w:tc>
        <w:tc>
          <w:tcPr>
            <w:tcW w:w="2268" w:type="dxa"/>
            <w:tcBorders>
              <w:top w:val="single" w:sz="8" w:space="0" w:color="auto"/>
              <w:left w:val="nil"/>
              <w:bottom w:val="single" w:sz="8" w:space="0" w:color="auto"/>
              <w:right w:val="single" w:sz="8" w:space="0" w:color="auto"/>
            </w:tcBorders>
            <w:shd w:val="clear" w:color="000000" w:fill="9BBB59"/>
            <w:vAlign w:val="center"/>
            <w:hideMark/>
          </w:tcPr>
          <w:p w14:paraId="0B579090" w14:textId="77777777" w:rsidR="003C5945" w:rsidRPr="00835DAC" w:rsidRDefault="003C5945" w:rsidP="00086BEB">
            <w:pPr>
              <w:spacing w:before="0" w:after="0" w:line="240" w:lineRule="auto"/>
              <w:jc w:val="center"/>
              <w:rPr>
                <w:rFonts w:ascii="Calibri" w:hAnsi="Calibri" w:cs="Times New Roman"/>
                <w:b/>
                <w:bCs/>
                <w:color w:val="000000"/>
                <w:spacing w:val="0"/>
                <w:sz w:val="22"/>
                <w:lang w:val="en-GB"/>
              </w:rPr>
            </w:pPr>
            <w:r w:rsidRPr="00835DAC">
              <w:rPr>
                <w:rFonts w:ascii="Calibri" w:hAnsi="Calibri" w:cs="Times New Roman"/>
                <w:b/>
                <w:bCs/>
                <w:color w:val="000000"/>
                <w:spacing w:val="0"/>
                <w:sz w:val="22"/>
                <w:lang w:val="en-GB"/>
              </w:rPr>
              <w:t>IMMEDIATE OUTCOMES</w:t>
            </w:r>
          </w:p>
        </w:tc>
        <w:tc>
          <w:tcPr>
            <w:tcW w:w="2268" w:type="dxa"/>
            <w:tcBorders>
              <w:top w:val="single" w:sz="8" w:space="0" w:color="auto"/>
              <w:left w:val="nil"/>
              <w:bottom w:val="single" w:sz="8" w:space="0" w:color="auto"/>
              <w:right w:val="single" w:sz="8" w:space="0" w:color="auto"/>
            </w:tcBorders>
            <w:shd w:val="clear" w:color="000000" w:fill="8064A2"/>
            <w:vAlign w:val="center"/>
            <w:hideMark/>
          </w:tcPr>
          <w:p w14:paraId="08BD8321" w14:textId="77777777" w:rsidR="003C5945" w:rsidRPr="00835DAC" w:rsidRDefault="003C5945" w:rsidP="00086BEB">
            <w:pPr>
              <w:spacing w:before="0" w:after="0" w:line="240" w:lineRule="auto"/>
              <w:jc w:val="center"/>
              <w:rPr>
                <w:rFonts w:ascii="Calibri" w:hAnsi="Calibri" w:cs="Times New Roman"/>
                <w:b/>
                <w:bCs/>
                <w:color w:val="000000"/>
                <w:spacing w:val="0"/>
                <w:sz w:val="22"/>
                <w:lang w:val="en-GB"/>
              </w:rPr>
            </w:pPr>
            <w:r w:rsidRPr="00835DAC">
              <w:rPr>
                <w:rFonts w:ascii="Calibri" w:hAnsi="Calibri" w:cs="Times New Roman"/>
                <w:b/>
                <w:bCs/>
                <w:color w:val="000000"/>
                <w:spacing w:val="0"/>
                <w:sz w:val="22"/>
                <w:lang w:val="en-GB"/>
              </w:rPr>
              <w:t>INTERMEDIATE OUTCOMES</w:t>
            </w:r>
          </w:p>
        </w:tc>
        <w:tc>
          <w:tcPr>
            <w:tcW w:w="2268" w:type="dxa"/>
            <w:tcBorders>
              <w:top w:val="single" w:sz="8" w:space="0" w:color="auto"/>
              <w:left w:val="nil"/>
              <w:bottom w:val="single" w:sz="8" w:space="0" w:color="auto"/>
              <w:right w:val="single" w:sz="8" w:space="0" w:color="auto"/>
            </w:tcBorders>
            <w:shd w:val="clear" w:color="000000" w:fill="4BACC6"/>
            <w:vAlign w:val="center"/>
            <w:hideMark/>
          </w:tcPr>
          <w:p w14:paraId="137FA7C9" w14:textId="77777777" w:rsidR="003C5945" w:rsidRPr="00835DAC" w:rsidRDefault="003C5945" w:rsidP="00086BEB">
            <w:pPr>
              <w:spacing w:before="0" w:after="0" w:line="240" w:lineRule="auto"/>
              <w:jc w:val="center"/>
              <w:rPr>
                <w:rFonts w:ascii="Calibri" w:hAnsi="Calibri" w:cs="Times New Roman"/>
                <w:b/>
                <w:bCs/>
                <w:color w:val="000000"/>
                <w:spacing w:val="0"/>
                <w:sz w:val="22"/>
                <w:lang w:val="en-GB"/>
              </w:rPr>
            </w:pPr>
            <w:r w:rsidRPr="00835DAC">
              <w:rPr>
                <w:rFonts w:ascii="Calibri" w:hAnsi="Calibri" w:cs="Times New Roman"/>
                <w:b/>
                <w:bCs/>
                <w:color w:val="000000"/>
                <w:spacing w:val="0"/>
                <w:sz w:val="22"/>
                <w:lang w:val="en-GB"/>
              </w:rPr>
              <w:t>FINAL OUTCOMES</w:t>
            </w:r>
          </w:p>
        </w:tc>
        <w:tc>
          <w:tcPr>
            <w:tcW w:w="2268" w:type="dxa"/>
            <w:tcBorders>
              <w:top w:val="single" w:sz="8" w:space="0" w:color="auto"/>
              <w:left w:val="nil"/>
              <w:bottom w:val="single" w:sz="8" w:space="0" w:color="auto"/>
              <w:right w:val="single" w:sz="8" w:space="0" w:color="auto"/>
            </w:tcBorders>
            <w:shd w:val="clear" w:color="000000" w:fill="F79646"/>
            <w:vAlign w:val="center"/>
            <w:hideMark/>
          </w:tcPr>
          <w:p w14:paraId="79EF535C" w14:textId="77777777" w:rsidR="003C5945" w:rsidRPr="00835DAC" w:rsidRDefault="003C5945" w:rsidP="00086BEB">
            <w:pPr>
              <w:spacing w:before="0" w:after="0" w:line="240" w:lineRule="auto"/>
              <w:jc w:val="center"/>
              <w:rPr>
                <w:rFonts w:ascii="Calibri" w:hAnsi="Calibri" w:cs="Times New Roman"/>
                <w:b/>
                <w:bCs/>
                <w:color w:val="000000"/>
                <w:spacing w:val="0"/>
                <w:sz w:val="22"/>
                <w:lang w:val="en-GB"/>
              </w:rPr>
            </w:pPr>
            <w:r w:rsidRPr="00835DAC">
              <w:rPr>
                <w:rFonts w:ascii="Calibri" w:hAnsi="Calibri" w:cs="Times New Roman"/>
                <w:b/>
                <w:bCs/>
                <w:color w:val="000000"/>
                <w:spacing w:val="0"/>
                <w:sz w:val="22"/>
                <w:lang w:val="en-GB"/>
              </w:rPr>
              <w:t>IMPACTS</w:t>
            </w:r>
          </w:p>
        </w:tc>
      </w:tr>
      <w:tr w:rsidR="003C5945" w:rsidRPr="00FF7160" w14:paraId="2CD666D0" w14:textId="77777777" w:rsidTr="007B4A3D">
        <w:trPr>
          <w:trHeight w:val="2260"/>
        </w:trPr>
        <w:tc>
          <w:tcPr>
            <w:tcW w:w="2259" w:type="dxa"/>
            <w:vMerge w:val="restart"/>
            <w:tcBorders>
              <w:top w:val="nil"/>
              <w:left w:val="single" w:sz="8" w:space="0" w:color="auto"/>
              <w:bottom w:val="single" w:sz="8" w:space="0" w:color="auto"/>
              <w:right w:val="single" w:sz="8" w:space="0" w:color="auto"/>
            </w:tcBorders>
            <w:shd w:val="clear" w:color="auto" w:fill="auto"/>
            <w:vAlign w:val="center"/>
            <w:hideMark/>
          </w:tcPr>
          <w:p w14:paraId="4663CD34" w14:textId="77777777" w:rsidR="003C5945" w:rsidRPr="003C5945" w:rsidRDefault="003C5945" w:rsidP="00086BEB">
            <w:pPr>
              <w:spacing w:before="0" w:after="0" w:line="240" w:lineRule="auto"/>
              <w:jc w:val="left"/>
              <w:rPr>
                <w:rFonts w:ascii="Calibri" w:hAnsi="Calibri" w:cs="Times New Roman"/>
                <w:color w:val="000000"/>
                <w:spacing w:val="0"/>
                <w:sz w:val="20"/>
                <w:szCs w:val="20"/>
                <w:lang w:val="en-GB"/>
              </w:rPr>
            </w:pPr>
            <w:r w:rsidRPr="003C5945">
              <w:rPr>
                <w:rFonts w:ascii="Calibri" w:hAnsi="Calibri" w:cs="Times New Roman"/>
                <w:color w:val="000000"/>
                <w:spacing w:val="0"/>
                <w:sz w:val="20"/>
                <w:szCs w:val="20"/>
                <w:lang w:val="en-GB"/>
              </w:rPr>
              <w:t>Skills planning and supply and demand forecasting</w:t>
            </w:r>
          </w:p>
        </w:tc>
        <w:tc>
          <w:tcPr>
            <w:tcW w:w="2267" w:type="dxa"/>
            <w:tcBorders>
              <w:top w:val="nil"/>
              <w:left w:val="nil"/>
              <w:bottom w:val="single" w:sz="8" w:space="0" w:color="auto"/>
              <w:right w:val="single" w:sz="8" w:space="0" w:color="auto"/>
            </w:tcBorders>
            <w:shd w:val="clear" w:color="auto" w:fill="auto"/>
            <w:vAlign w:val="center"/>
            <w:hideMark/>
          </w:tcPr>
          <w:p w14:paraId="7DC40D18" w14:textId="77777777" w:rsidR="003C5945" w:rsidRPr="003C5945" w:rsidRDefault="003C5945" w:rsidP="00086BEB">
            <w:pPr>
              <w:spacing w:before="0" w:after="0" w:line="240" w:lineRule="auto"/>
              <w:jc w:val="left"/>
              <w:rPr>
                <w:rFonts w:ascii="Calibri" w:hAnsi="Calibri" w:cs="Times New Roman"/>
                <w:color w:val="000000"/>
                <w:spacing w:val="0"/>
                <w:sz w:val="20"/>
                <w:szCs w:val="20"/>
                <w:lang w:val="en-GB"/>
              </w:rPr>
            </w:pPr>
            <w:r w:rsidRPr="003C5945">
              <w:rPr>
                <w:rFonts w:ascii="Calibri" w:hAnsi="Calibri" w:cs="Times New Roman"/>
                <w:color w:val="000000"/>
                <w:spacing w:val="0"/>
                <w:sz w:val="20"/>
                <w:szCs w:val="20"/>
                <w:lang w:val="en-GB"/>
              </w:rPr>
              <w:t>Sector skills plans are professionally researched</w:t>
            </w:r>
          </w:p>
        </w:tc>
        <w:tc>
          <w:tcPr>
            <w:tcW w:w="2268" w:type="dxa"/>
            <w:tcBorders>
              <w:top w:val="nil"/>
              <w:left w:val="nil"/>
              <w:bottom w:val="single" w:sz="8" w:space="0" w:color="auto"/>
              <w:right w:val="single" w:sz="8" w:space="0" w:color="auto"/>
            </w:tcBorders>
            <w:shd w:val="clear" w:color="auto" w:fill="auto"/>
            <w:vAlign w:val="center"/>
            <w:hideMark/>
          </w:tcPr>
          <w:p w14:paraId="13381FF9" w14:textId="77777777" w:rsidR="003C5945" w:rsidRPr="003C5945" w:rsidRDefault="003C5945" w:rsidP="00086BEB">
            <w:pPr>
              <w:spacing w:before="0" w:after="0" w:line="240" w:lineRule="auto"/>
              <w:jc w:val="left"/>
              <w:rPr>
                <w:rFonts w:ascii="Calibri" w:hAnsi="Calibri" w:cs="Times New Roman"/>
                <w:color w:val="000000"/>
                <w:spacing w:val="0"/>
                <w:sz w:val="20"/>
                <w:szCs w:val="20"/>
                <w:lang w:val="en-GB"/>
              </w:rPr>
            </w:pPr>
            <w:r w:rsidRPr="003C5945">
              <w:rPr>
                <w:rFonts w:ascii="Calibri" w:hAnsi="Calibri" w:cs="Times New Roman"/>
                <w:color w:val="000000"/>
                <w:spacing w:val="0"/>
                <w:sz w:val="20"/>
                <w:szCs w:val="20"/>
                <w:lang w:val="en-GB"/>
              </w:rPr>
              <w:t>Sector and nationally commissioned research and data is analysed, validated and captured in an integrated database that is accessible to stakeholders</w:t>
            </w:r>
          </w:p>
        </w:tc>
        <w:tc>
          <w:tcPr>
            <w:tcW w:w="2268" w:type="dxa"/>
            <w:tcBorders>
              <w:top w:val="nil"/>
              <w:left w:val="nil"/>
              <w:bottom w:val="single" w:sz="8" w:space="0" w:color="auto"/>
              <w:right w:val="single" w:sz="8" w:space="0" w:color="auto"/>
            </w:tcBorders>
            <w:shd w:val="clear" w:color="auto" w:fill="auto"/>
            <w:vAlign w:val="center"/>
            <w:hideMark/>
          </w:tcPr>
          <w:p w14:paraId="12CC0D74" w14:textId="77777777" w:rsidR="003C5945" w:rsidRPr="003C5945" w:rsidRDefault="003C5945" w:rsidP="00086BEB">
            <w:pPr>
              <w:spacing w:before="0" w:after="0" w:line="240" w:lineRule="auto"/>
              <w:jc w:val="left"/>
              <w:rPr>
                <w:rFonts w:ascii="Calibri" w:hAnsi="Calibri" w:cs="Times New Roman"/>
                <w:color w:val="000000"/>
                <w:spacing w:val="0"/>
                <w:sz w:val="20"/>
                <w:szCs w:val="20"/>
                <w:lang w:val="en-GB"/>
              </w:rPr>
            </w:pPr>
            <w:r w:rsidRPr="003C5945">
              <w:rPr>
                <w:rFonts w:ascii="Calibri" w:hAnsi="Calibri" w:cs="Times New Roman"/>
                <w:color w:val="000000"/>
                <w:spacing w:val="0"/>
                <w:sz w:val="20"/>
                <w:szCs w:val="20"/>
                <w:lang w:val="en-GB"/>
              </w:rPr>
              <w:t>SSPs provide a sound analysis of the sector and articulate an agreed sector strategy to address skills needs.</w:t>
            </w:r>
          </w:p>
        </w:tc>
        <w:tc>
          <w:tcPr>
            <w:tcW w:w="2268" w:type="dxa"/>
            <w:vMerge w:val="restart"/>
            <w:tcBorders>
              <w:top w:val="nil"/>
              <w:left w:val="single" w:sz="8" w:space="0" w:color="auto"/>
              <w:bottom w:val="single" w:sz="8" w:space="0" w:color="auto"/>
              <w:right w:val="single" w:sz="8" w:space="0" w:color="auto"/>
            </w:tcBorders>
            <w:shd w:val="clear" w:color="auto" w:fill="auto"/>
            <w:vAlign w:val="center"/>
            <w:hideMark/>
          </w:tcPr>
          <w:p w14:paraId="064D1D18" w14:textId="77777777" w:rsidR="003C5945" w:rsidRPr="003C5945" w:rsidRDefault="003C5945" w:rsidP="00086BEB">
            <w:pPr>
              <w:spacing w:before="0" w:after="0" w:line="240" w:lineRule="auto"/>
              <w:jc w:val="left"/>
              <w:rPr>
                <w:rFonts w:ascii="Calibri" w:hAnsi="Calibri" w:cs="Times New Roman"/>
                <w:color w:val="000000"/>
                <w:spacing w:val="0"/>
                <w:sz w:val="20"/>
                <w:szCs w:val="20"/>
                <w:lang w:val="en-GB"/>
              </w:rPr>
            </w:pPr>
            <w:r w:rsidRPr="003C5945">
              <w:rPr>
                <w:rFonts w:ascii="Calibri" w:hAnsi="Calibri" w:cs="Times New Roman"/>
                <w:color w:val="000000"/>
                <w:spacing w:val="0"/>
                <w:sz w:val="20"/>
                <w:szCs w:val="20"/>
                <w:lang w:val="en-GB"/>
              </w:rPr>
              <w:t>Skills Planning Mechanism established that has credibility and informs planning</w:t>
            </w:r>
          </w:p>
        </w:tc>
        <w:tc>
          <w:tcPr>
            <w:tcW w:w="2268" w:type="dxa"/>
            <w:tcBorders>
              <w:top w:val="nil"/>
              <w:left w:val="nil"/>
              <w:bottom w:val="nil"/>
              <w:right w:val="single" w:sz="8" w:space="0" w:color="auto"/>
            </w:tcBorders>
            <w:shd w:val="clear" w:color="auto" w:fill="auto"/>
            <w:vAlign w:val="center"/>
            <w:hideMark/>
          </w:tcPr>
          <w:p w14:paraId="5D37481D" w14:textId="77777777" w:rsidR="003C5945" w:rsidRPr="003C5945" w:rsidRDefault="003C5945" w:rsidP="00086BEB">
            <w:pPr>
              <w:spacing w:before="0" w:after="0" w:line="240" w:lineRule="auto"/>
              <w:jc w:val="left"/>
              <w:rPr>
                <w:rFonts w:ascii="Calibri" w:hAnsi="Calibri" w:cs="Times New Roman"/>
                <w:color w:val="000000"/>
                <w:spacing w:val="0"/>
                <w:sz w:val="20"/>
                <w:szCs w:val="20"/>
                <w:lang w:val="en-GB"/>
              </w:rPr>
            </w:pPr>
            <w:r w:rsidRPr="003C5945">
              <w:rPr>
                <w:rFonts w:ascii="Calibri" w:hAnsi="Calibri" w:cs="Times New Roman"/>
                <w:color w:val="000000"/>
                <w:spacing w:val="0"/>
                <w:sz w:val="20"/>
                <w:szCs w:val="20"/>
                <w:lang w:val="en-GB"/>
              </w:rPr>
              <w:t>A credible institutional mechanism for skills planning established and informing skills planning.</w:t>
            </w:r>
          </w:p>
        </w:tc>
      </w:tr>
      <w:tr w:rsidR="003C5945" w:rsidRPr="00FF7160" w14:paraId="5289DE4C" w14:textId="77777777" w:rsidTr="007B4A3D">
        <w:trPr>
          <w:trHeight w:val="1114"/>
        </w:trPr>
        <w:tc>
          <w:tcPr>
            <w:tcW w:w="2259" w:type="dxa"/>
            <w:vMerge/>
            <w:tcBorders>
              <w:top w:val="nil"/>
              <w:left w:val="single" w:sz="8" w:space="0" w:color="auto"/>
              <w:bottom w:val="single" w:sz="8" w:space="0" w:color="auto"/>
              <w:right w:val="single" w:sz="8" w:space="0" w:color="auto"/>
            </w:tcBorders>
            <w:vAlign w:val="center"/>
            <w:hideMark/>
          </w:tcPr>
          <w:p w14:paraId="38331114" w14:textId="77777777" w:rsidR="003C5945" w:rsidRPr="003C5945" w:rsidRDefault="003C5945" w:rsidP="00086BEB">
            <w:pPr>
              <w:spacing w:before="0" w:after="0" w:line="240" w:lineRule="auto"/>
              <w:jc w:val="left"/>
              <w:rPr>
                <w:rFonts w:ascii="Calibri" w:hAnsi="Calibri" w:cs="Times New Roman"/>
                <w:color w:val="000000"/>
                <w:spacing w:val="0"/>
                <w:sz w:val="20"/>
                <w:szCs w:val="20"/>
                <w:lang w:val="en-GB"/>
              </w:rPr>
            </w:pPr>
          </w:p>
        </w:tc>
        <w:tc>
          <w:tcPr>
            <w:tcW w:w="2267" w:type="dxa"/>
            <w:tcBorders>
              <w:top w:val="nil"/>
              <w:left w:val="nil"/>
              <w:bottom w:val="single" w:sz="8" w:space="0" w:color="auto"/>
              <w:right w:val="single" w:sz="8" w:space="0" w:color="auto"/>
            </w:tcBorders>
            <w:shd w:val="clear" w:color="auto" w:fill="auto"/>
            <w:vAlign w:val="center"/>
            <w:hideMark/>
          </w:tcPr>
          <w:p w14:paraId="1A230C1A" w14:textId="77777777" w:rsidR="003C5945" w:rsidRPr="003C5945" w:rsidRDefault="003C5945" w:rsidP="00086BEB">
            <w:pPr>
              <w:spacing w:before="0" w:after="0" w:line="240" w:lineRule="auto"/>
              <w:jc w:val="left"/>
              <w:rPr>
                <w:rFonts w:ascii="Calibri" w:hAnsi="Calibri" w:cs="Times New Roman"/>
                <w:color w:val="000000"/>
                <w:spacing w:val="0"/>
                <w:sz w:val="20"/>
                <w:szCs w:val="20"/>
                <w:lang w:val="en-GB"/>
              </w:rPr>
            </w:pPr>
            <w:r w:rsidRPr="003C5945">
              <w:rPr>
                <w:rFonts w:ascii="Calibri" w:hAnsi="Calibri" w:cs="Times New Roman"/>
                <w:color w:val="000000"/>
                <w:spacing w:val="0"/>
                <w:sz w:val="20"/>
                <w:szCs w:val="20"/>
                <w:lang w:val="en-GB"/>
              </w:rPr>
              <w:t>Capacity is established within the Department of Higher Education and Training to coordinate research and skills planning</w:t>
            </w:r>
          </w:p>
        </w:tc>
        <w:tc>
          <w:tcPr>
            <w:tcW w:w="2268" w:type="dxa"/>
            <w:tcBorders>
              <w:top w:val="nil"/>
              <w:left w:val="nil"/>
              <w:bottom w:val="single" w:sz="8" w:space="0" w:color="auto"/>
              <w:right w:val="single" w:sz="8" w:space="0" w:color="auto"/>
            </w:tcBorders>
            <w:shd w:val="clear" w:color="auto" w:fill="auto"/>
            <w:vAlign w:val="center"/>
            <w:hideMark/>
          </w:tcPr>
          <w:p w14:paraId="41FC5E54" w14:textId="77777777" w:rsidR="003C5945" w:rsidRPr="003C5945" w:rsidRDefault="003C5945" w:rsidP="00086BEB">
            <w:pPr>
              <w:spacing w:before="0" w:after="0" w:line="240" w:lineRule="auto"/>
              <w:jc w:val="left"/>
              <w:rPr>
                <w:rFonts w:ascii="Calibri" w:hAnsi="Calibri" w:cs="Times New Roman"/>
                <w:color w:val="000000"/>
                <w:spacing w:val="0"/>
                <w:sz w:val="20"/>
                <w:szCs w:val="20"/>
                <w:lang w:val="en-GB"/>
              </w:rPr>
            </w:pPr>
            <w:r w:rsidRPr="003C5945">
              <w:rPr>
                <w:rFonts w:ascii="Calibri" w:hAnsi="Calibri" w:cs="Times New Roman"/>
                <w:color w:val="000000"/>
                <w:spacing w:val="0"/>
                <w:sz w:val="20"/>
                <w:szCs w:val="20"/>
                <w:lang w:val="en-GB"/>
              </w:rPr>
              <w:t>Programmes are put in place that focus on the skills needed to produce research that will be relevant and have an impact on the achievement of economic and skills development goals</w:t>
            </w:r>
          </w:p>
        </w:tc>
        <w:tc>
          <w:tcPr>
            <w:tcW w:w="2268" w:type="dxa"/>
            <w:tcBorders>
              <w:top w:val="nil"/>
              <w:left w:val="nil"/>
              <w:bottom w:val="single" w:sz="8" w:space="0" w:color="auto"/>
              <w:right w:val="single" w:sz="8" w:space="0" w:color="auto"/>
            </w:tcBorders>
            <w:shd w:val="clear" w:color="auto" w:fill="auto"/>
            <w:vAlign w:val="center"/>
            <w:hideMark/>
          </w:tcPr>
          <w:p w14:paraId="79847542" w14:textId="77777777" w:rsidR="003C5945" w:rsidRPr="003C5945" w:rsidRDefault="003C5945" w:rsidP="00086BEB">
            <w:pPr>
              <w:spacing w:before="0" w:after="0" w:line="240" w:lineRule="auto"/>
              <w:jc w:val="left"/>
              <w:rPr>
                <w:rFonts w:ascii="Calibri" w:hAnsi="Calibri" w:cs="Times New Roman"/>
                <w:color w:val="000000"/>
                <w:spacing w:val="0"/>
                <w:sz w:val="20"/>
                <w:szCs w:val="20"/>
                <w:lang w:val="en-GB"/>
              </w:rPr>
            </w:pPr>
            <w:r w:rsidRPr="003C5945">
              <w:rPr>
                <w:rFonts w:ascii="Calibri" w:hAnsi="Calibri" w:cs="Times New Roman"/>
                <w:color w:val="000000"/>
                <w:spacing w:val="0"/>
                <w:sz w:val="20"/>
                <w:szCs w:val="20"/>
                <w:lang w:val="en-GB"/>
              </w:rPr>
              <w:t>National need in relation to skills development is researched, documented and communicated to enable effective planning across all economic sectors</w:t>
            </w:r>
          </w:p>
        </w:tc>
        <w:tc>
          <w:tcPr>
            <w:tcW w:w="2268" w:type="dxa"/>
            <w:vMerge/>
            <w:tcBorders>
              <w:top w:val="nil"/>
              <w:left w:val="single" w:sz="8" w:space="0" w:color="auto"/>
              <w:bottom w:val="single" w:sz="8" w:space="0" w:color="auto"/>
              <w:right w:val="single" w:sz="8" w:space="0" w:color="auto"/>
            </w:tcBorders>
            <w:vAlign w:val="center"/>
            <w:hideMark/>
          </w:tcPr>
          <w:p w14:paraId="54B79D63" w14:textId="77777777" w:rsidR="003C5945" w:rsidRPr="003C5945" w:rsidRDefault="003C5945" w:rsidP="00086BEB">
            <w:pPr>
              <w:spacing w:before="0" w:after="0" w:line="240" w:lineRule="auto"/>
              <w:jc w:val="left"/>
              <w:rPr>
                <w:rFonts w:ascii="Calibri" w:hAnsi="Calibri" w:cs="Times New Roman"/>
                <w:color w:val="000000"/>
                <w:spacing w:val="0"/>
                <w:sz w:val="20"/>
                <w:szCs w:val="20"/>
                <w:lang w:val="en-GB"/>
              </w:rPr>
            </w:pPr>
          </w:p>
        </w:tc>
        <w:tc>
          <w:tcPr>
            <w:tcW w:w="2268" w:type="dxa"/>
            <w:tcBorders>
              <w:top w:val="nil"/>
              <w:left w:val="nil"/>
              <w:bottom w:val="single" w:sz="8" w:space="0" w:color="auto"/>
              <w:right w:val="single" w:sz="8" w:space="0" w:color="auto"/>
            </w:tcBorders>
            <w:shd w:val="clear" w:color="auto" w:fill="auto"/>
            <w:vAlign w:val="center"/>
            <w:hideMark/>
          </w:tcPr>
          <w:p w14:paraId="49300703" w14:textId="77777777" w:rsidR="003C5945" w:rsidRPr="003C5945" w:rsidRDefault="003C5945" w:rsidP="00086BEB">
            <w:pPr>
              <w:spacing w:before="0" w:after="0" w:line="240" w:lineRule="auto"/>
              <w:jc w:val="left"/>
              <w:rPr>
                <w:rFonts w:ascii="Calibri" w:hAnsi="Calibri" w:cs="Times New Roman"/>
                <w:color w:val="000000"/>
                <w:spacing w:val="0"/>
                <w:sz w:val="20"/>
                <w:szCs w:val="20"/>
                <w:lang w:val="en-GB"/>
              </w:rPr>
            </w:pPr>
            <w:r w:rsidRPr="003C5945">
              <w:rPr>
                <w:rFonts w:ascii="Calibri" w:hAnsi="Calibri" w:cs="Times New Roman"/>
                <w:color w:val="000000"/>
                <w:spacing w:val="0"/>
                <w:sz w:val="20"/>
                <w:szCs w:val="20"/>
                <w:lang w:val="en-GB"/>
              </w:rPr>
              <w:t>Available resources allocated to achieve greater impact.</w:t>
            </w:r>
          </w:p>
        </w:tc>
      </w:tr>
      <w:tr w:rsidR="003C5945" w:rsidRPr="00FF7160" w14:paraId="26FAF61B" w14:textId="77777777" w:rsidTr="007B4A3D">
        <w:trPr>
          <w:trHeight w:val="340"/>
        </w:trPr>
        <w:tc>
          <w:tcPr>
            <w:tcW w:w="2259" w:type="dxa"/>
            <w:vMerge w:val="restart"/>
            <w:tcBorders>
              <w:top w:val="nil"/>
              <w:left w:val="single" w:sz="8" w:space="0" w:color="auto"/>
              <w:bottom w:val="single" w:sz="8" w:space="0" w:color="auto"/>
              <w:right w:val="single" w:sz="8" w:space="0" w:color="auto"/>
            </w:tcBorders>
            <w:shd w:val="clear" w:color="auto" w:fill="auto"/>
            <w:vAlign w:val="center"/>
            <w:hideMark/>
          </w:tcPr>
          <w:p w14:paraId="0E21EC25" w14:textId="77777777" w:rsidR="003C5945" w:rsidRPr="003C5945" w:rsidRDefault="003C5945" w:rsidP="00086BEB">
            <w:pPr>
              <w:spacing w:before="0" w:after="0" w:line="240" w:lineRule="auto"/>
              <w:jc w:val="left"/>
              <w:rPr>
                <w:rFonts w:ascii="Calibri" w:hAnsi="Calibri" w:cs="Times New Roman"/>
                <w:color w:val="000000"/>
                <w:spacing w:val="0"/>
                <w:sz w:val="20"/>
                <w:szCs w:val="20"/>
                <w:lang w:val="en-GB"/>
              </w:rPr>
            </w:pPr>
            <w:r w:rsidRPr="003C5945">
              <w:rPr>
                <w:rFonts w:ascii="Calibri" w:hAnsi="Calibri" w:cs="Times New Roman"/>
                <w:color w:val="000000"/>
                <w:spacing w:val="0"/>
                <w:sz w:val="20"/>
                <w:szCs w:val="20"/>
                <w:lang w:val="en-GB"/>
              </w:rPr>
              <w:t>Lower and middle level skills interventions and expansion of Public TVET colleges role in their provision</w:t>
            </w:r>
          </w:p>
        </w:tc>
        <w:tc>
          <w:tcPr>
            <w:tcW w:w="2267" w:type="dxa"/>
            <w:tcBorders>
              <w:top w:val="nil"/>
              <w:left w:val="nil"/>
              <w:bottom w:val="single" w:sz="8" w:space="0" w:color="auto"/>
              <w:right w:val="single" w:sz="8" w:space="0" w:color="auto"/>
            </w:tcBorders>
            <w:shd w:val="clear" w:color="000000" w:fill="AEAAAA"/>
            <w:vAlign w:val="center"/>
            <w:hideMark/>
          </w:tcPr>
          <w:p w14:paraId="466CF573" w14:textId="77777777" w:rsidR="003C5945" w:rsidRPr="003C5945" w:rsidRDefault="003C5945" w:rsidP="00086BEB">
            <w:pPr>
              <w:spacing w:before="0" w:after="0" w:line="240" w:lineRule="auto"/>
              <w:jc w:val="left"/>
              <w:rPr>
                <w:rFonts w:ascii="Calibri" w:hAnsi="Calibri" w:cs="Times New Roman"/>
                <w:color w:val="000000"/>
                <w:spacing w:val="0"/>
                <w:sz w:val="20"/>
                <w:szCs w:val="20"/>
                <w:lang w:val="en-GB"/>
              </w:rPr>
            </w:pPr>
            <w:r w:rsidRPr="003C5945">
              <w:rPr>
                <w:rFonts w:ascii="Calibri" w:hAnsi="Calibri" w:cs="Times New Roman"/>
                <w:color w:val="000000"/>
                <w:spacing w:val="0"/>
                <w:sz w:val="20"/>
                <w:szCs w:val="20"/>
                <w:lang w:val="en-GB"/>
              </w:rPr>
              <w:t> </w:t>
            </w:r>
          </w:p>
        </w:tc>
        <w:tc>
          <w:tcPr>
            <w:tcW w:w="2268" w:type="dxa"/>
            <w:tcBorders>
              <w:top w:val="nil"/>
              <w:left w:val="nil"/>
              <w:bottom w:val="single" w:sz="8" w:space="0" w:color="auto"/>
              <w:right w:val="single" w:sz="8" w:space="0" w:color="auto"/>
            </w:tcBorders>
            <w:shd w:val="clear" w:color="000000" w:fill="AEAAAA"/>
            <w:vAlign w:val="center"/>
            <w:hideMark/>
          </w:tcPr>
          <w:p w14:paraId="70E5DC5D" w14:textId="77777777" w:rsidR="003C5945" w:rsidRPr="003C5945" w:rsidRDefault="003C5945" w:rsidP="00086BEB">
            <w:pPr>
              <w:spacing w:before="0" w:after="0" w:line="240" w:lineRule="auto"/>
              <w:jc w:val="left"/>
              <w:rPr>
                <w:rFonts w:ascii="Calibri" w:hAnsi="Calibri" w:cs="Times New Roman"/>
                <w:color w:val="000000"/>
                <w:spacing w:val="0"/>
                <w:sz w:val="20"/>
                <w:szCs w:val="20"/>
                <w:lang w:val="en-GB"/>
              </w:rPr>
            </w:pPr>
            <w:r w:rsidRPr="003C5945">
              <w:rPr>
                <w:rFonts w:ascii="Calibri" w:hAnsi="Calibri" w:cs="Times New Roman"/>
                <w:color w:val="000000"/>
                <w:spacing w:val="0"/>
                <w:sz w:val="20"/>
                <w:szCs w:val="20"/>
                <w:lang w:val="en-GB"/>
              </w:rPr>
              <w:t> </w:t>
            </w:r>
          </w:p>
        </w:tc>
        <w:tc>
          <w:tcPr>
            <w:tcW w:w="2268" w:type="dxa"/>
            <w:tcBorders>
              <w:top w:val="nil"/>
              <w:left w:val="nil"/>
              <w:bottom w:val="single" w:sz="8" w:space="0" w:color="auto"/>
              <w:right w:val="single" w:sz="8" w:space="0" w:color="auto"/>
            </w:tcBorders>
            <w:shd w:val="clear" w:color="000000" w:fill="AEAAAA"/>
            <w:vAlign w:val="center"/>
            <w:hideMark/>
          </w:tcPr>
          <w:p w14:paraId="6F444BB0" w14:textId="77777777" w:rsidR="003C5945" w:rsidRPr="003C5945" w:rsidRDefault="003C5945" w:rsidP="00086BEB">
            <w:pPr>
              <w:spacing w:before="0" w:after="0" w:line="240" w:lineRule="auto"/>
              <w:jc w:val="left"/>
              <w:rPr>
                <w:rFonts w:ascii="Calibri" w:hAnsi="Calibri" w:cs="Times New Roman"/>
                <w:color w:val="000000"/>
                <w:spacing w:val="0"/>
                <w:sz w:val="20"/>
                <w:szCs w:val="20"/>
                <w:lang w:val="en-GB"/>
              </w:rPr>
            </w:pPr>
            <w:r w:rsidRPr="003C5945">
              <w:rPr>
                <w:rFonts w:ascii="Calibri" w:hAnsi="Calibri" w:cs="Times New Roman"/>
                <w:color w:val="000000"/>
                <w:spacing w:val="0"/>
                <w:sz w:val="20"/>
                <w:szCs w:val="20"/>
                <w:lang w:val="en-GB"/>
              </w:rPr>
              <w:t> </w:t>
            </w:r>
          </w:p>
        </w:tc>
        <w:tc>
          <w:tcPr>
            <w:tcW w:w="2268" w:type="dxa"/>
            <w:tcBorders>
              <w:top w:val="nil"/>
              <w:left w:val="nil"/>
              <w:bottom w:val="single" w:sz="8" w:space="0" w:color="auto"/>
              <w:right w:val="single" w:sz="8" w:space="0" w:color="auto"/>
            </w:tcBorders>
            <w:shd w:val="clear" w:color="000000" w:fill="AEAAAA"/>
            <w:vAlign w:val="center"/>
            <w:hideMark/>
          </w:tcPr>
          <w:p w14:paraId="0DC917F7" w14:textId="77777777" w:rsidR="003C5945" w:rsidRPr="003C5945" w:rsidRDefault="003C5945" w:rsidP="00086BEB">
            <w:pPr>
              <w:spacing w:before="0" w:after="0" w:line="240" w:lineRule="auto"/>
              <w:jc w:val="left"/>
              <w:rPr>
                <w:rFonts w:ascii="Calibri" w:hAnsi="Calibri" w:cs="Times New Roman"/>
                <w:color w:val="000000"/>
                <w:spacing w:val="0"/>
                <w:sz w:val="20"/>
                <w:szCs w:val="20"/>
                <w:lang w:val="en-GB"/>
              </w:rPr>
            </w:pPr>
            <w:r w:rsidRPr="003C5945">
              <w:rPr>
                <w:rFonts w:ascii="Calibri" w:hAnsi="Calibri" w:cs="Times New Roman"/>
                <w:color w:val="000000"/>
                <w:spacing w:val="0"/>
                <w:sz w:val="20"/>
                <w:szCs w:val="20"/>
                <w:lang w:val="en-GB"/>
              </w:rPr>
              <w:t> </w:t>
            </w:r>
          </w:p>
        </w:tc>
        <w:tc>
          <w:tcPr>
            <w:tcW w:w="2268" w:type="dxa"/>
            <w:tcBorders>
              <w:top w:val="nil"/>
              <w:left w:val="nil"/>
              <w:bottom w:val="single" w:sz="8" w:space="0" w:color="auto"/>
              <w:right w:val="single" w:sz="8" w:space="0" w:color="auto"/>
            </w:tcBorders>
            <w:shd w:val="clear" w:color="000000" w:fill="AEAAAA"/>
            <w:vAlign w:val="center"/>
            <w:hideMark/>
          </w:tcPr>
          <w:p w14:paraId="4DADFE20" w14:textId="77777777" w:rsidR="003C5945" w:rsidRPr="003C5945" w:rsidRDefault="003C5945" w:rsidP="00086BEB">
            <w:pPr>
              <w:spacing w:before="0" w:after="0" w:line="240" w:lineRule="auto"/>
              <w:jc w:val="left"/>
              <w:rPr>
                <w:rFonts w:ascii="Calibri" w:hAnsi="Calibri" w:cs="Times New Roman"/>
                <w:color w:val="000000"/>
                <w:spacing w:val="0"/>
                <w:sz w:val="20"/>
                <w:szCs w:val="20"/>
                <w:lang w:val="en-GB"/>
              </w:rPr>
            </w:pPr>
            <w:r w:rsidRPr="003C5945">
              <w:rPr>
                <w:rFonts w:ascii="Calibri" w:hAnsi="Calibri" w:cs="Times New Roman"/>
                <w:color w:val="000000"/>
                <w:spacing w:val="0"/>
                <w:sz w:val="20"/>
                <w:szCs w:val="20"/>
                <w:lang w:val="en-GB"/>
              </w:rPr>
              <w:t> </w:t>
            </w:r>
          </w:p>
        </w:tc>
      </w:tr>
      <w:tr w:rsidR="003C5945" w:rsidRPr="00FF7160" w14:paraId="3825DB9A" w14:textId="77777777" w:rsidTr="007B4A3D">
        <w:trPr>
          <w:trHeight w:val="3540"/>
        </w:trPr>
        <w:tc>
          <w:tcPr>
            <w:tcW w:w="2259" w:type="dxa"/>
            <w:vMerge/>
            <w:tcBorders>
              <w:top w:val="nil"/>
              <w:left w:val="single" w:sz="8" w:space="0" w:color="auto"/>
              <w:bottom w:val="single" w:sz="8" w:space="0" w:color="auto"/>
              <w:right w:val="single" w:sz="8" w:space="0" w:color="auto"/>
            </w:tcBorders>
            <w:vAlign w:val="center"/>
            <w:hideMark/>
          </w:tcPr>
          <w:p w14:paraId="04C0338B" w14:textId="77777777" w:rsidR="003C5945" w:rsidRPr="003C5945" w:rsidRDefault="003C5945" w:rsidP="00086BEB">
            <w:pPr>
              <w:spacing w:before="0" w:after="0" w:line="240" w:lineRule="auto"/>
              <w:jc w:val="left"/>
              <w:rPr>
                <w:rFonts w:ascii="Calibri" w:hAnsi="Calibri" w:cs="Times New Roman"/>
                <w:color w:val="000000"/>
                <w:spacing w:val="0"/>
                <w:sz w:val="20"/>
                <w:szCs w:val="20"/>
                <w:lang w:val="en-GB"/>
              </w:rPr>
            </w:pPr>
          </w:p>
        </w:tc>
        <w:tc>
          <w:tcPr>
            <w:tcW w:w="2267" w:type="dxa"/>
            <w:tcBorders>
              <w:top w:val="nil"/>
              <w:left w:val="nil"/>
              <w:bottom w:val="single" w:sz="8" w:space="0" w:color="auto"/>
              <w:right w:val="single" w:sz="8" w:space="0" w:color="auto"/>
            </w:tcBorders>
            <w:shd w:val="clear" w:color="auto" w:fill="auto"/>
            <w:vAlign w:val="center"/>
            <w:hideMark/>
          </w:tcPr>
          <w:p w14:paraId="5C8604C8" w14:textId="77777777" w:rsidR="003C5945" w:rsidRPr="003C5945" w:rsidRDefault="003C5945" w:rsidP="00086BEB">
            <w:pPr>
              <w:spacing w:before="0" w:after="0" w:line="240" w:lineRule="auto"/>
              <w:jc w:val="left"/>
              <w:rPr>
                <w:rFonts w:ascii="Calibri" w:hAnsi="Calibri" w:cs="Times New Roman"/>
                <w:color w:val="000000"/>
                <w:spacing w:val="0"/>
                <w:sz w:val="20"/>
                <w:szCs w:val="20"/>
                <w:lang w:val="en-GB"/>
              </w:rPr>
            </w:pPr>
            <w:r w:rsidRPr="003C5945">
              <w:rPr>
                <w:rFonts w:ascii="Calibri" w:hAnsi="Calibri" w:cs="Times New Roman"/>
                <w:color w:val="000000"/>
                <w:spacing w:val="0"/>
                <w:sz w:val="20"/>
                <w:szCs w:val="20"/>
                <w:lang w:val="en-GB"/>
              </w:rPr>
              <w:t>SETAs research and identify middle level skills needs in their sectors and put in place strategies to address them, particularly through the use of the public FET colleges and universities of technology working in partnership with employers providing workplace-based training.</w:t>
            </w:r>
          </w:p>
        </w:tc>
        <w:tc>
          <w:tcPr>
            <w:tcW w:w="2268" w:type="dxa"/>
            <w:tcBorders>
              <w:top w:val="nil"/>
              <w:left w:val="nil"/>
              <w:bottom w:val="single" w:sz="8" w:space="0" w:color="auto"/>
              <w:right w:val="single" w:sz="8" w:space="0" w:color="auto"/>
            </w:tcBorders>
            <w:shd w:val="clear" w:color="auto" w:fill="auto"/>
            <w:vAlign w:val="center"/>
            <w:hideMark/>
          </w:tcPr>
          <w:p w14:paraId="6782E23F" w14:textId="77777777" w:rsidR="003C5945" w:rsidRPr="003C5945" w:rsidRDefault="003C5945" w:rsidP="00086BEB">
            <w:pPr>
              <w:spacing w:before="0" w:after="0" w:line="240" w:lineRule="auto"/>
              <w:jc w:val="left"/>
              <w:rPr>
                <w:rFonts w:ascii="Calibri" w:hAnsi="Calibri" w:cs="Times New Roman"/>
                <w:color w:val="000000"/>
                <w:spacing w:val="0"/>
                <w:sz w:val="20"/>
                <w:szCs w:val="20"/>
                <w:lang w:val="en-GB"/>
              </w:rPr>
            </w:pPr>
            <w:r w:rsidRPr="003C5945">
              <w:rPr>
                <w:rFonts w:ascii="Calibri" w:hAnsi="Calibri" w:cs="Times New Roman"/>
                <w:color w:val="000000"/>
                <w:spacing w:val="0"/>
                <w:sz w:val="20"/>
                <w:szCs w:val="20"/>
                <w:lang w:val="en-GB"/>
              </w:rPr>
              <w:t>Projects are established to address middle level skills in each sector.</w:t>
            </w:r>
          </w:p>
        </w:tc>
        <w:tc>
          <w:tcPr>
            <w:tcW w:w="2268" w:type="dxa"/>
            <w:tcBorders>
              <w:top w:val="nil"/>
              <w:left w:val="nil"/>
              <w:bottom w:val="single" w:sz="8" w:space="0" w:color="auto"/>
              <w:right w:val="single" w:sz="8" w:space="0" w:color="auto"/>
            </w:tcBorders>
            <w:shd w:val="clear" w:color="auto" w:fill="auto"/>
            <w:vAlign w:val="center"/>
            <w:hideMark/>
          </w:tcPr>
          <w:p w14:paraId="47FA4CCD" w14:textId="77777777" w:rsidR="003C5945" w:rsidRPr="003C5945" w:rsidRDefault="003C5945" w:rsidP="00086BEB">
            <w:pPr>
              <w:spacing w:before="0" w:after="0" w:line="240" w:lineRule="auto"/>
              <w:jc w:val="left"/>
              <w:rPr>
                <w:rFonts w:ascii="Calibri" w:hAnsi="Calibri" w:cs="Times New Roman"/>
                <w:color w:val="000000"/>
                <w:spacing w:val="0"/>
                <w:sz w:val="20"/>
                <w:szCs w:val="20"/>
                <w:lang w:val="en-GB"/>
              </w:rPr>
            </w:pPr>
            <w:r w:rsidRPr="003C5945">
              <w:rPr>
                <w:rFonts w:ascii="Calibri" w:hAnsi="Calibri" w:cs="Times New Roman"/>
                <w:color w:val="000000"/>
                <w:spacing w:val="0"/>
                <w:sz w:val="20"/>
                <w:szCs w:val="20"/>
                <w:lang w:val="en-GB"/>
              </w:rPr>
              <w:t>Each college has a strategic plan in place to build capacity and engage in skills development programmes, including programmes offered in partnership with employers.   </w:t>
            </w:r>
          </w:p>
        </w:tc>
        <w:tc>
          <w:tcPr>
            <w:tcW w:w="2268" w:type="dxa"/>
            <w:tcBorders>
              <w:top w:val="nil"/>
              <w:left w:val="nil"/>
              <w:bottom w:val="single" w:sz="8" w:space="0" w:color="auto"/>
              <w:right w:val="single" w:sz="8" w:space="0" w:color="auto"/>
            </w:tcBorders>
            <w:shd w:val="clear" w:color="auto" w:fill="auto"/>
            <w:vAlign w:val="center"/>
            <w:hideMark/>
          </w:tcPr>
          <w:p w14:paraId="716BB98E" w14:textId="77777777" w:rsidR="003C5945" w:rsidRPr="003C5945" w:rsidRDefault="003C5945" w:rsidP="00086BEB">
            <w:pPr>
              <w:spacing w:before="0" w:after="0" w:line="240" w:lineRule="auto"/>
              <w:jc w:val="left"/>
              <w:rPr>
                <w:rFonts w:ascii="Calibri" w:hAnsi="Calibri" w:cs="Times New Roman"/>
                <w:color w:val="000000"/>
                <w:spacing w:val="0"/>
                <w:sz w:val="20"/>
                <w:szCs w:val="20"/>
                <w:lang w:val="en-GB"/>
              </w:rPr>
            </w:pPr>
            <w:r w:rsidRPr="003C5945">
              <w:rPr>
                <w:rFonts w:ascii="Calibri" w:hAnsi="Calibri" w:cs="Times New Roman"/>
                <w:color w:val="000000"/>
                <w:spacing w:val="0"/>
                <w:sz w:val="20"/>
                <w:szCs w:val="20"/>
                <w:lang w:val="en-GB"/>
              </w:rPr>
              <w:t>Partnerships between DHET, SETAs, employers, private providers and public FET colleges are resulting in increased capacity to meet industry needs throughout the country.</w:t>
            </w:r>
          </w:p>
        </w:tc>
        <w:tc>
          <w:tcPr>
            <w:tcW w:w="2268" w:type="dxa"/>
            <w:tcBorders>
              <w:top w:val="nil"/>
              <w:left w:val="nil"/>
              <w:bottom w:val="single" w:sz="8" w:space="0" w:color="auto"/>
              <w:right w:val="single" w:sz="8" w:space="0" w:color="auto"/>
            </w:tcBorders>
            <w:shd w:val="clear" w:color="auto" w:fill="auto"/>
            <w:vAlign w:val="center"/>
            <w:hideMark/>
          </w:tcPr>
          <w:p w14:paraId="25333285" w14:textId="77777777" w:rsidR="003C5945" w:rsidRPr="003C5945" w:rsidRDefault="003C5945" w:rsidP="00086BEB">
            <w:pPr>
              <w:spacing w:before="0" w:after="0" w:line="240" w:lineRule="auto"/>
              <w:jc w:val="left"/>
              <w:rPr>
                <w:rFonts w:ascii="Calibri" w:hAnsi="Calibri" w:cs="Times New Roman"/>
                <w:color w:val="000000"/>
                <w:spacing w:val="0"/>
                <w:sz w:val="20"/>
                <w:szCs w:val="20"/>
                <w:lang w:val="en-GB"/>
              </w:rPr>
            </w:pPr>
            <w:r w:rsidRPr="003C5945">
              <w:rPr>
                <w:rFonts w:ascii="Calibri" w:hAnsi="Calibri" w:cs="Times New Roman"/>
                <w:color w:val="000000"/>
                <w:spacing w:val="0"/>
                <w:sz w:val="20"/>
                <w:szCs w:val="20"/>
                <w:lang w:val="en-GB"/>
              </w:rPr>
              <w:t xml:space="preserve">Increasing access to occupationally-directed programmes delivered </w:t>
            </w:r>
            <w:r w:rsidRPr="003C5945">
              <w:rPr>
                <w:rFonts w:ascii="Calibri (Body)" w:hAnsi="Calibri (Body)" w:cs="Times New Roman"/>
                <w:color w:val="auto"/>
                <w:spacing w:val="0"/>
                <w:sz w:val="20"/>
                <w:szCs w:val="20"/>
                <w:lang w:val="en-GB"/>
              </w:rPr>
              <w:t>through or in collaboration with Public TVET colleges</w:t>
            </w:r>
          </w:p>
        </w:tc>
      </w:tr>
      <w:tr w:rsidR="003C5945" w:rsidRPr="00FF7160" w14:paraId="3165BED7" w14:textId="77777777" w:rsidTr="007B4A3D">
        <w:trPr>
          <w:trHeight w:val="2397"/>
        </w:trPr>
        <w:tc>
          <w:tcPr>
            <w:tcW w:w="2259" w:type="dxa"/>
            <w:vMerge/>
            <w:tcBorders>
              <w:top w:val="nil"/>
              <w:left w:val="single" w:sz="8" w:space="0" w:color="auto"/>
              <w:bottom w:val="single" w:sz="8" w:space="0" w:color="auto"/>
              <w:right w:val="single" w:sz="8" w:space="0" w:color="auto"/>
            </w:tcBorders>
            <w:vAlign w:val="center"/>
            <w:hideMark/>
          </w:tcPr>
          <w:p w14:paraId="1F668122" w14:textId="77777777" w:rsidR="003C5945" w:rsidRPr="003C5945" w:rsidRDefault="003C5945" w:rsidP="00086BEB">
            <w:pPr>
              <w:spacing w:before="0" w:after="0" w:line="240" w:lineRule="auto"/>
              <w:jc w:val="left"/>
              <w:rPr>
                <w:rFonts w:ascii="Calibri" w:hAnsi="Calibri" w:cs="Times New Roman"/>
                <w:color w:val="000000"/>
                <w:spacing w:val="0"/>
                <w:sz w:val="20"/>
                <w:szCs w:val="20"/>
                <w:lang w:val="en-GB"/>
              </w:rPr>
            </w:pPr>
          </w:p>
        </w:tc>
        <w:tc>
          <w:tcPr>
            <w:tcW w:w="2267" w:type="dxa"/>
            <w:tcBorders>
              <w:top w:val="nil"/>
              <w:left w:val="nil"/>
              <w:bottom w:val="single" w:sz="8" w:space="0" w:color="auto"/>
              <w:right w:val="single" w:sz="8" w:space="0" w:color="auto"/>
            </w:tcBorders>
            <w:shd w:val="clear" w:color="auto" w:fill="auto"/>
            <w:vAlign w:val="center"/>
            <w:hideMark/>
          </w:tcPr>
          <w:p w14:paraId="3A74B531" w14:textId="77777777" w:rsidR="003C5945" w:rsidRPr="003C5945" w:rsidRDefault="003C5945" w:rsidP="00086BEB">
            <w:pPr>
              <w:spacing w:before="0" w:after="0" w:line="240" w:lineRule="auto"/>
              <w:jc w:val="left"/>
              <w:rPr>
                <w:rFonts w:ascii="Calibri" w:hAnsi="Calibri" w:cs="Times New Roman"/>
                <w:color w:val="000000"/>
                <w:spacing w:val="0"/>
                <w:sz w:val="20"/>
                <w:szCs w:val="20"/>
                <w:lang w:val="en-GB"/>
              </w:rPr>
            </w:pPr>
            <w:r w:rsidRPr="003C5945">
              <w:rPr>
                <w:rFonts w:ascii="Times New Roman" w:hAnsi="Times New Roman" w:cs="Times New Roman"/>
                <w:color w:val="000000"/>
                <w:spacing w:val="0"/>
                <w:sz w:val="20"/>
                <w:szCs w:val="20"/>
                <w:lang w:val="en-GB"/>
              </w:rPr>
              <w:t xml:space="preserve"> </w:t>
            </w:r>
            <w:r w:rsidRPr="003C5945">
              <w:rPr>
                <w:rFonts w:ascii="Calibri" w:hAnsi="Calibri" w:cs="Times New Roman"/>
                <w:color w:val="000000"/>
                <w:spacing w:val="0"/>
                <w:sz w:val="20"/>
                <w:szCs w:val="20"/>
                <w:lang w:val="en-GB"/>
              </w:rPr>
              <w:t>SETAs establish projects and partnerships to enable the relevant number of artisans for their sector to be trained, to qualify and become work ready</w:t>
            </w:r>
          </w:p>
        </w:tc>
        <w:tc>
          <w:tcPr>
            <w:tcW w:w="2268" w:type="dxa"/>
            <w:tcBorders>
              <w:top w:val="nil"/>
              <w:left w:val="nil"/>
              <w:bottom w:val="single" w:sz="8" w:space="0" w:color="auto"/>
              <w:right w:val="single" w:sz="8" w:space="0" w:color="auto"/>
            </w:tcBorders>
            <w:shd w:val="clear" w:color="auto" w:fill="auto"/>
            <w:vAlign w:val="center"/>
            <w:hideMark/>
          </w:tcPr>
          <w:p w14:paraId="099FDF4A" w14:textId="77777777" w:rsidR="003C5945" w:rsidRPr="003C5945" w:rsidRDefault="003C5945" w:rsidP="00086BEB">
            <w:pPr>
              <w:spacing w:before="0" w:after="0" w:line="240" w:lineRule="auto"/>
              <w:jc w:val="left"/>
              <w:rPr>
                <w:rFonts w:ascii="Calibri" w:hAnsi="Calibri" w:cs="Times New Roman"/>
                <w:color w:val="000000"/>
                <w:spacing w:val="0"/>
                <w:sz w:val="20"/>
                <w:szCs w:val="20"/>
                <w:lang w:val="en-GB"/>
              </w:rPr>
            </w:pPr>
            <w:r w:rsidRPr="003C5945">
              <w:rPr>
                <w:rFonts w:ascii="Calibri" w:hAnsi="Calibri" w:cs="Times New Roman"/>
                <w:color w:val="000000"/>
                <w:spacing w:val="0"/>
                <w:sz w:val="20"/>
                <w:szCs w:val="20"/>
                <w:lang w:val="en-GB"/>
              </w:rPr>
              <w:t>The national Artisan Development Project developed by JIPSA and now located in the DHET, is planned, managed and reported on, with interventions made where blockages occur</w:t>
            </w:r>
          </w:p>
        </w:tc>
        <w:tc>
          <w:tcPr>
            <w:tcW w:w="2268" w:type="dxa"/>
            <w:tcBorders>
              <w:top w:val="nil"/>
              <w:left w:val="nil"/>
              <w:bottom w:val="single" w:sz="8" w:space="0" w:color="auto"/>
              <w:right w:val="single" w:sz="8" w:space="0" w:color="auto"/>
            </w:tcBorders>
            <w:shd w:val="clear" w:color="auto" w:fill="auto"/>
            <w:vAlign w:val="center"/>
            <w:hideMark/>
          </w:tcPr>
          <w:p w14:paraId="73AA3FA8" w14:textId="77777777" w:rsidR="003C5945" w:rsidRPr="003C5945" w:rsidRDefault="003C5945" w:rsidP="00086BEB">
            <w:pPr>
              <w:spacing w:before="0" w:after="0" w:line="240" w:lineRule="auto"/>
              <w:jc w:val="left"/>
              <w:rPr>
                <w:rFonts w:ascii="Calibri" w:hAnsi="Calibri" w:cs="Times New Roman"/>
                <w:color w:val="000000"/>
                <w:spacing w:val="0"/>
                <w:sz w:val="20"/>
                <w:szCs w:val="20"/>
                <w:lang w:val="en-GB"/>
              </w:rPr>
            </w:pPr>
            <w:r w:rsidRPr="003C5945">
              <w:rPr>
                <w:rFonts w:ascii="Calibri" w:hAnsi="Calibri" w:cs="Times New Roman"/>
                <w:color w:val="000000"/>
                <w:spacing w:val="0"/>
                <w:sz w:val="20"/>
                <w:szCs w:val="20"/>
                <w:lang w:val="en-GB"/>
              </w:rPr>
              <w:t>10,000 artisans per year qualify and find employment.</w:t>
            </w:r>
          </w:p>
        </w:tc>
        <w:tc>
          <w:tcPr>
            <w:tcW w:w="2268" w:type="dxa"/>
            <w:tcBorders>
              <w:top w:val="nil"/>
              <w:left w:val="nil"/>
              <w:bottom w:val="single" w:sz="8" w:space="0" w:color="auto"/>
              <w:right w:val="single" w:sz="8" w:space="0" w:color="auto"/>
            </w:tcBorders>
            <w:shd w:val="clear" w:color="auto" w:fill="auto"/>
            <w:vAlign w:val="center"/>
            <w:hideMark/>
          </w:tcPr>
          <w:p w14:paraId="24E79E83" w14:textId="77777777" w:rsidR="003C5945" w:rsidRPr="003C5945" w:rsidRDefault="003C5945" w:rsidP="00086BEB">
            <w:pPr>
              <w:spacing w:before="0" w:after="0" w:line="240" w:lineRule="auto"/>
              <w:jc w:val="left"/>
              <w:rPr>
                <w:rFonts w:ascii="Calibri" w:hAnsi="Calibri" w:cs="Times New Roman"/>
                <w:color w:val="000000"/>
                <w:spacing w:val="0"/>
                <w:sz w:val="20"/>
                <w:szCs w:val="20"/>
                <w:lang w:val="en-GB"/>
              </w:rPr>
            </w:pPr>
            <w:r w:rsidRPr="003C5945">
              <w:rPr>
                <w:rFonts w:ascii="Calibri" w:hAnsi="Calibri" w:cs="Times New Roman"/>
                <w:color w:val="000000"/>
                <w:spacing w:val="0"/>
                <w:sz w:val="20"/>
                <w:szCs w:val="20"/>
                <w:lang w:val="en-GB"/>
              </w:rPr>
              <w:t>Middle level skills needs are identified and addressed in all sectors</w:t>
            </w:r>
          </w:p>
        </w:tc>
        <w:tc>
          <w:tcPr>
            <w:tcW w:w="2268" w:type="dxa"/>
            <w:tcBorders>
              <w:top w:val="nil"/>
              <w:left w:val="nil"/>
              <w:bottom w:val="single" w:sz="8" w:space="0" w:color="auto"/>
              <w:right w:val="single" w:sz="8" w:space="0" w:color="auto"/>
            </w:tcBorders>
            <w:shd w:val="clear" w:color="auto" w:fill="auto"/>
            <w:hideMark/>
          </w:tcPr>
          <w:p w14:paraId="1FB65849" w14:textId="77777777" w:rsidR="003C5945" w:rsidRPr="003C5945" w:rsidRDefault="003C5945" w:rsidP="00086BEB">
            <w:pPr>
              <w:spacing w:before="0" w:after="0" w:line="240" w:lineRule="auto"/>
              <w:jc w:val="left"/>
              <w:rPr>
                <w:rFonts w:ascii="Calibri" w:hAnsi="Calibri" w:cs="Times New Roman"/>
                <w:color w:val="000000"/>
                <w:spacing w:val="0"/>
                <w:sz w:val="20"/>
                <w:szCs w:val="20"/>
                <w:lang w:val="en-GB"/>
              </w:rPr>
            </w:pPr>
            <w:r w:rsidRPr="003C5945">
              <w:rPr>
                <w:rFonts w:ascii="Calibri" w:hAnsi="Calibri" w:cs="Times New Roman"/>
                <w:color w:val="000000"/>
                <w:spacing w:val="0"/>
                <w:sz w:val="20"/>
                <w:szCs w:val="20"/>
                <w:lang w:val="en-GB"/>
              </w:rPr>
              <w:t>Training of employed workers addresses critical skills, enabling improved productivity, economic growth and the ability of the work force to adapt to change in the labour market</w:t>
            </w:r>
          </w:p>
        </w:tc>
      </w:tr>
      <w:tr w:rsidR="003C5945" w:rsidRPr="00FF7160" w14:paraId="7D8FD340" w14:textId="77777777" w:rsidTr="007B4A3D">
        <w:trPr>
          <w:trHeight w:val="2580"/>
        </w:trPr>
        <w:tc>
          <w:tcPr>
            <w:tcW w:w="2259" w:type="dxa"/>
            <w:vMerge/>
            <w:tcBorders>
              <w:top w:val="nil"/>
              <w:left w:val="single" w:sz="8" w:space="0" w:color="auto"/>
              <w:bottom w:val="single" w:sz="8" w:space="0" w:color="auto"/>
              <w:right w:val="single" w:sz="8" w:space="0" w:color="auto"/>
            </w:tcBorders>
            <w:vAlign w:val="center"/>
            <w:hideMark/>
          </w:tcPr>
          <w:p w14:paraId="2756FB2D" w14:textId="77777777" w:rsidR="003C5945" w:rsidRPr="003C5945" w:rsidRDefault="003C5945" w:rsidP="00086BEB">
            <w:pPr>
              <w:spacing w:before="0" w:after="0" w:line="240" w:lineRule="auto"/>
              <w:jc w:val="left"/>
              <w:rPr>
                <w:rFonts w:ascii="Calibri" w:hAnsi="Calibri" w:cs="Times New Roman"/>
                <w:color w:val="000000"/>
                <w:spacing w:val="0"/>
                <w:sz w:val="20"/>
                <w:szCs w:val="20"/>
                <w:lang w:val="en-GB"/>
              </w:rPr>
            </w:pPr>
          </w:p>
        </w:tc>
        <w:tc>
          <w:tcPr>
            <w:tcW w:w="2267" w:type="dxa"/>
            <w:tcBorders>
              <w:top w:val="nil"/>
              <w:left w:val="nil"/>
              <w:bottom w:val="single" w:sz="8" w:space="0" w:color="auto"/>
              <w:right w:val="single" w:sz="8" w:space="0" w:color="auto"/>
            </w:tcBorders>
            <w:shd w:val="clear" w:color="auto" w:fill="auto"/>
            <w:vAlign w:val="center"/>
            <w:hideMark/>
          </w:tcPr>
          <w:p w14:paraId="4EEEA23F" w14:textId="77777777" w:rsidR="003C5945" w:rsidRPr="003C5945" w:rsidRDefault="003C5945" w:rsidP="00086BEB">
            <w:pPr>
              <w:spacing w:before="0" w:after="0" w:line="240" w:lineRule="auto"/>
              <w:jc w:val="left"/>
              <w:rPr>
                <w:rFonts w:ascii="Calibri" w:hAnsi="Calibri" w:cs="Times New Roman"/>
                <w:color w:val="000000"/>
                <w:spacing w:val="0"/>
                <w:sz w:val="20"/>
                <w:szCs w:val="20"/>
                <w:lang w:val="en-GB"/>
              </w:rPr>
            </w:pPr>
            <w:r w:rsidRPr="003C5945">
              <w:rPr>
                <w:rFonts w:ascii="Calibri" w:hAnsi="Calibri" w:cs="Times New Roman"/>
                <w:color w:val="000000"/>
                <w:spacing w:val="0"/>
                <w:sz w:val="20"/>
                <w:szCs w:val="20"/>
                <w:lang w:val="en-GB"/>
              </w:rPr>
              <w:t>SETAs identify FET colleges with relevant programmes and put in place partnerships to offer vocational courses and work experience for college learners</w:t>
            </w:r>
          </w:p>
        </w:tc>
        <w:tc>
          <w:tcPr>
            <w:tcW w:w="2268" w:type="dxa"/>
            <w:tcBorders>
              <w:top w:val="nil"/>
              <w:left w:val="nil"/>
              <w:bottom w:val="single" w:sz="8" w:space="0" w:color="auto"/>
              <w:right w:val="single" w:sz="8" w:space="0" w:color="auto"/>
            </w:tcBorders>
            <w:shd w:val="clear" w:color="auto" w:fill="auto"/>
            <w:vAlign w:val="center"/>
            <w:hideMark/>
          </w:tcPr>
          <w:p w14:paraId="47937577" w14:textId="77777777" w:rsidR="003C5945" w:rsidRPr="003C5945" w:rsidRDefault="003C5945" w:rsidP="00086BEB">
            <w:pPr>
              <w:spacing w:before="0" w:after="0" w:line="240" w:lineRule="auto"/>
              <w:jc w:val="left"/>
              <w:rPr>
                <w:rFonts w:ascii="Calibri" w:hAnsi="Calibri" w:cs="Times New Roman"/>
                <w:color w:val="000000"/>
                <w:spacing w:val="0"/>
                <w:sz w:val="20"/>
                <w:szCs w:val="20"/>
                <w:lang w:val="en-GB"/>
              </w:rPr>
            </w:pPr>
            <w:r w:rsidRPr="003C5945">
              <w:rPr>
                <w:rFonts w:ascii="Calibri" w:hAnsi="Calibri" w:cs="Times New Roman"/>
                <w:color w:val="000000"/>
                <w:spacing w:val="0"/>
                <w:sz w:val="20"/>
                <w:szCs w:val="20"/>
                <w:lang w:val="en-GB"/>
              </w:rPr>
              <w:t xml:space="preserve">The capacity of FET colleges to provide quality vocational training is reviewed. </w:t>
            </w:r>
          </w:p>
        </w:tc>
        <w:tc>
          <w:tcPr>
            <w:tcW w:w="2268" w:type="dxa"/>
            <w:tcBorders>
              <w:top w:val="nil"/>
              <w:left w:val="nil"/>
              <w:bottom w:val="single" w:sz="8" w:space="0" w:color="auto"/>
              <w:right w:val="single" w:sz="8" w:space="0" w:color="auto"/>
            </w:tcBorders>
            <w:shd w:val="clear" w:color="auto" w:fill="auto"/>
            <w:vAlign w:val="center"/>
            <w:hideMark/>
          </w:tcPr>
          <w:p w14:paraId="5DAA7BF8" w14:textId="77777777" w:rsidR="003C5945" w:rsidRPr="003C5945" w:rsidRDefault="003C5945" w:rsidP="00086BEB">
            <w:pPr>
              <w:spacing w:before="0" w:after="0" w:line="240" w:lineRule="auto"/>
              <w:jc w:val="left"/>
              <w:rPr>
                <w:rFonts w:ascii="Calibri" w:hAnsi="Calibri" w:cs="Times New Roman"/>
                <w:color w:val="000000"/>
                <w:spacing w:val="0"/>
                <w:sz w:val="20"/>
                <w:szCs w:val="20"/>
                <w:lang w:val="en-GB"/>
              </w:rPr>
            </w:pPr>
            <w:r w:rsidRPr="003C5945">
              <w:rPr>
                <w:rFonts w:ascii="Calibri" w:hAnsi="Calibri" w:cs="Times New Roman"/>
                <w:color w:val="000000"/>
                <w:spacing w:val="0"/>
                <w:sz w:val="20"/>
                <w:szCs w:val="20"/>
                <w:lang w:val="en-GB"/>
              </w:rPr>
              <w:t>The NCV is reviewed with inputs from stakeholders and the curriculum is revised to ensure that it provides a sound foundational basis for building labour market relevant skills</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14:paraId="17FB2F88" w14:textId="77777777" w:rsidR="003C5945" w:rsidRPr="003C5945" w:rsidRDefault="003C5945" w:rsidP="00086BEB">
            <w:pPr>
              <w:spacing w:before="0" w:after="0" w:line="240" w:lineRule="auto"/>
              <w:jc w:val="left"/>
              <w:rPr>
                <w:rFonts w:ascii="Calibri" w:hAnsi="Calibri" w:cs="Times New Roman"/>
                <w:color w:val="000000"/>
                <w:spacing w:val="0"/>
                <w:sz w:val="20"/>
                <w:szCs w:val="20"/>
                <w:lang w:val="en-GB"/>
              </w:rPr>
            </w:pPr>
            <w:r w:rsidRPr="003C5945">
              <w:rPr>
                <w:rFonts w:ascii="Calibri" w:hAnsi="Calibri" w:cs="Times New Roman"/>
                <w:color w:val="000000"/>
                <w:spacing w:val="0"/>
                <w:sz w:val="20"/>
                <w:szCs w:val="20"/>
                <w:lang w:val="en-GB"/>
              </w:rPr>
              <w:t xml:space="preserve">The National Certificate (Vocational) and N-courses are recognised by employers as important base qualifications through which young people are obtaining additional vocational skills and work experience, </w:t>
            </w:r>
            <w:r w:rsidRPr="003C5945">
              <w:rPr>
                <w:rFonts w:ascii="Calibri" w:hAnsi="Calibri" w:cs="Times New Roman"/>
                <w:color w:val="000000"/>
                <w:spacing w:val="0"/>
                <w:sz w:val="20"/>
                <w:szCs w:val="20"/>
                <w:lang w:val="en-GB"/>
              </w:rPr>
              <w:lastRenderedPageBreak/>
              <w:t>entering the labour market with marketable skills, and obtaining employment.</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14:paraId="35AE5F6E" w14:textId="77777777" w:rsidR="003C5945" w:rsidRPr="003C5945" w:rsidRDefault="003C5945" w:rsidP="00086BEB">
            <w:pPr>
              <w:spacing w:before="0" w:after="0" w:line="240" w:lineRule="auto"/>
              <w:jc w:val="left"/>
              <w:rPr>
                <w:rFonts w:ascii="Calibri" w:hAnsi="Calibri" w:cs="Times New Roman"/>
                <w:color w:val="000000"/>
                <w:spacing w:val="0"/>
                <w:sz w:val="20"/>
                <w:szCs w:val="20"/>
                <w:lang w:val="en-GB"/>
              </w:rPr>
            </w:pPr>
            <w:r w:rsidRPr="003C5945">
              <w:rPr>
                <w:rFonts w:ascii="Calibri" w:hAnsi="Calibri" w:cs="Times New Roman"/>
                <w:color w:val="000000"/>
                <w:spacing w:val="0"/>
                <w:sz w:val="20"/>
                <w:szCs w:val="20"/>
                <w:lang w:val="en-GB"/>
              </w:rPr>
              <w:lastRenderedPageBreak/>
              <w:t>A public FET (TVET) system that is responsive to sector, local, regional and national skills needs and priorities</w:t>
            </w:r>
          </w:p>
        </w:tc>
      </w:tr>
      <w:tr w:rsidR="003C5945" w:rsidRPr="00FF7160" w14:paraId="352D6F1C" w14:textId="77777777" w:rsidTr="007B4A3D">
        <w:trPr>
          <w:trHeight w:val="2900"/>
        </w:trPr>
        <w:tc>
          <w:tcPr>
            <w:tcW w:w="2259" w:type="dxa"/>
            <w:vMerge/>
            <w:tcBorders>
              <w:top w:val="nil"/>
              <w:left w:val="single" w:sz="8" w:space="0" w:color="auto"/>
              <w:bottom w:val="single" w:sz="8" w:space="0" w:color="auto"/>
              <w:right w:val="single" w:sz="8" w:space="0" w:color="auto"/>
            </w:tcBorders>
            <w:vAlign w:val="center"/>
            <w:hideMark/>
          </w:tcPr>
          <w:p w14:paraId="11A84BB8" w14:textId="77777777" w:rsidR="003C5945" w:rsidRPr="003C5945" w:rsidRDefault="003C5945" w:rsidP="00086BEB">
            <w:pPr>
              <w:spacing w:before="0" w:after="0" w:line="240" w:lineRule="auto"/>
              <w:jc w:val="left"/>
              <w:rPr>
                <w:rFonts w:ascii="Calibri" w:hAnsi="Calibri" w:cs="Times New Roman"/>
                <w:color w:val="000000"/>
                <w:spacing w:val="0"/>
                <w:sz w:val="20"/>
                <w:szCs w:val="20"/>
                <w:lang w:val="en-GB"/>
              </w:rPr>
            </w:pPr>
          </w:p>
        </w:tc>
        <w:tc>
          <w:tcPr>
            <w:tcW w:w="2267" w:type="dxa"/>
            <w:tcBorders>
              <w:top w:val="nil"/>
              <w:left w:val="nil"/>
              <w:bottom w:val="single" w:sz="8" w:space="0" w:color="auto"/>
              <w:right w:val="single" w:sz="8" w:space="0" w:color="auto"/>
            </w:tcBorders>
            <w:shd w:val="clear" w:color="auto" w:fill="auto"/>
            <w:vAlign w:val="center"/>
            <w:hideMark/>
          </w:tcPr>
          <w:p w14:paraId="006D82ED" w14:textId="77777777" w:rsidR="003C5945" w:rsidRPr="003C5945" w:rsidRDefault="003C5945" w:rsidP="00086BEB">
            <w:pPr>
              <w:spacing w:before="0" w:after="0" w:line="240" w:lineRule="auto"/>
              <w:jc w:val="left"/>
              <w:rPr>
                <w:rFonts w:ascii="Calibri" w:hAnsi="Calibri" w:cs="Times New Roman"/>
                <w:color w:val="000000"/>
                <w:spacing w:val="0"/>
                <w:sz w:val="20"/>
                <w:szCs w:val="20"/>
                <w:lang w:val="en-GB"/>
              </w:rPr>
            </w:pPr>
            <w:r w:rsidRPr="003C5945">
              <w:rPr>
                <w:rFonts w:ascii="Calibri" w:hAnsi="Calibri" w:cs="Times New Roman"/>
                <w:color w:val="000000"/>
                <w:spacing w:val="0"/>
                <w:sz w:val="20"/>
                <w:szCs w:val="20"/>
                <w:lang w:val="en-GB"/>
              </w:rPr>
              <w:t>SETA stakeholders agree on the provision of substantial quality programmes for employed workers and report on the impact of the training.</w:t>
            </w:r>
          </w:p>
        </w:tc>
        <w:tc>
          <w:tcPr>
            <w:tcW w:w="2268" w:type="dxa"/>
            <w:tcBorders>
              <w:top w:val="nil"/>
              <w:left w:val="nil"/>
              <w:bottom w:val="single" w:sz="8" w:space="0" w:color="auto"/>
              <w:right w:val="single" w:sz="8" w:space="0" w:color="auto"/>
            </w:tcBorders>
            <w:shd w:val="clear" w:color="auto" w:fill="auto"/>
            <w:vAlign w:val="center"/>
            <w:hideMark/>
          </w:tcPr>
          <w:p w14:paraId="50A087C2" w14:textId="77777777" w:rsidR="003C5945" w:rsidRPr="003C5945" w:rsidRDefault="003C5945" w:rsidP="00086BEB">
            <w:pPr>
              <w:spacing w:before="0" w:after="0" w:line="240" w:lineRule="auto"/>
              <w:jc w:val="left"/>
              <w:rPr>
                <w:rFonts w:ascii="Calibri" w:hAnsi="Calibri" w:cs="Times New Roman"/>
                <w:color w:val="000000"/>
                <w:spacing w:val="0"/>
                <w:sz w:val="20"/>
                <w:szCs w:val="20"/>
                <w:lang w:val="en-GB"/>
              </w:rPr>
            </w:pPr>
            <w:r w:rsidRPr="003C5945">
              <w:rPr>
                <w:rFonts w:ascii="Calibri" w:hAnsi="Calibri" w:cs="Times New Roman"/>
                <w:color w:val="000000"/>
                <w:spacing w:val="0"/>
                <w:sz w:val="20"/>
                <w:szCs w:val="20"/>
                <w:lang w:val="en-GB"/>
              </w:rPr>
              <w:t>The programmes offered to meet industry needs, including those supporting apprenticeships and N-courses, are reviewed, updated and made available to and accessed by employers.</w:t>
            </w:r>
          </w:p>
        </w:tc>
        <w:tc>
          <w:tcPr>
            <w:tcW w:w="2268" w:type="dxa"/>
            <w:tcBorders>
              <w:top w:val="nil"/>
              <w:left w:val="nil"/>
              <w:bottom w:val="single" w:sz="8" w:space="0" w:color="auto"/>
              <w:right w:val="single" w:sz="8" w:space="0" w:color="auto"/>
            </w:tcBorders>
            <w:shd w:val="clear" w:color="auto" w:fill="auto"/>
            <w:vAlign w:val="center"/>
            <w:hideMark/>
          </w:tcPr>
          <w:p w14:paraId="3B404704" w14:textId="77777777" w:rsidR="003C5945" w:rsidRPr="003C5945" w:rsidRDefault="003C5945" w:rsidP="00086BEB">
            <w:pPr>
              <w:spacing w:before="0" w:after="0" w:line="240" w:lineRule="auto"/>
              <w:jc w:val="left"/>
              <w:rPr>
                <w:rFonts w:ascii="Calibri" w:hAnsi="Calibri" w:cs="Times New Roman"/>
                <w:color w:val="000000"/>
                <w:spacing w:val="0"/>
                <w:sz w:val="20"/>
                <w:szCs w:val="20"/>
                <w:lang w:val="en-GB"/>
              </w:rPr>
            </w:pPr>
            <w:r w:rsidRPr="003C5945">
              <w:rPr>
                <w:rFonts w:ascii="Calibri" w:hAnsi="Calibri" w:cs="Times New Roman"/>
                <w:color w:val="000000"/>
                <w:spacing w:val="0"/>
                <w:sz w:val="20"/>
                <w:szCs w:val="20"/>
                <w:lang w:val="en-GB"/>
              </w:rPr>
              <w:t>The capacity of college educators to deliver programmes is reviewed. Skills development programmes, including work placement opportunities, are devised to meet the needs of the college educators</w:t>
            </w:r>
          </w:p>
        </w:tc>
        <w:tc>
          <w:tcPr>
            <w:tcW w:w="2268" w:type="dxa"/>
            <w:vMerge/>
            <w:tcBorders>
              <w:top w:val="nil"/>
              <w:left w:val="single" w:sz="8" w:space="0" w:color="auto"/>
              <w:bottom w:val="single" w:sz="8" w:space="0" w:color="000000"/>
              <w:right w:val="single" w:sz="8" w:space="0" w:color="auto"/>
            </w:tcBorders>
            <w:vAlign w:val="center"/>
            <w:hideMark/>
          </w:tcPr>
          <w:p w14:paraId="605CFB83" w14:textId="77777777" w:rsidR="003C5945" w:rsidRPr="003C5945" w:rsidRDefault="003C5945" w:rsidP="00086BEB">
            <w:pPr>
              <w:spacing w:before="0" w:after="0" w:line="240" w:lineRule="auto"/>
              <w:jc w:val="left"/>
              <w:rPr>
                <w:rFonts w:ascii="Calibri" w:hAnsi="Calibri" w:cs="Times New Roman"/>
                <w:color w:val="000000"/>
                <w:spacing w:val="0"/>
                <w:sz w:val="20"/>
                <w:szCs w:val="20"/>
                <w:lang w:val="en-GB"/>
              </w:rPr>
            </w:pPr>
          </w:p>
        </w:tc>
        <w:tc>
          <w:tcPr>
            <w:tcW w:w="2268" w:type="dxa"/>
            <w:vMerge/>
            <w:tcBorders>
              <w:top w:val="nil"/>
              <w:left w:val="single" w:sz="8" w:space="0" w:color="auto"/>
              <w:bottom w:val="single" w:sz="8" w:space="0" w:color="000000"/>
              <w:right w:val="single" w:sz="8" w:space="0" w:color="auto"/>
            </w:tcBorders>
            <w:vAlign w:val="center"/>
            <w:hideMark/>
          </w:tcPr>
          <w:p w14:paraId="5E2B10B9" w14:textId="77777777" w:rsidR="003C5945" w:rsidRPr="003C5945" w:rsidRDefault="003C5945" w:rsidP="00086BEB">
            <w:pPr>
              <w:spacing w:before="0" w:after="0" w:line="240" w:lineRule="auto"/>
              <w:jc w:val="left"/>
              <w:rPr>
                <w:rFonts w:ascii="Calibri" w:hAnsi="Calibri" w:cs="Times New Roman"/>
                <w:color w:val="000000"/>
                <w:spacing w:val="0"/>
                <w:sz w:val="20"/>
                <w:szCs w:val="20"/>
                <w:lang w:val="en-GB"/>
              </w:rPr>
            </w:pPr>
          </w:p>
        </w:tc>
      </w:tr>
      <w:tr w:rsidR="003C5945" w:rsidRPr="00FF7160" w14:paraId="0D49EF13" w14:textId="77777777" w:rsidTr="007B4A3D">
        <w:trPr>
          <w:trHeight w:val="205"/>
        </w:trPr>
        <w:tc>
          <w:tcPr>
            <w:tcW w:w="2259" w:type="dxa"/>
            <w:tcBorders>
              <w:top w:val="nil"/>
              <w:left w:val="single" w:sz="8" w:space="0" w:color="auto"/>
              <w:bottom w:val="nil"/>
              <w:right w:val="single" w:sz="8" w:space="0" w:color="auto"/>
            </w:tcBorders>
            <w:shd w:val="clear" w:color="000000" w:fill="BFBFBF"/>
            <w:vAlign w:val="center"/>
            <w:hideMark/>
          </w:tcPr>
          <w:p w14:paraId="2B0C6036" w14:textId="77777777" w:rsidR="003C5945" w:rsidRPr="003C5945" w:rsidRDefault="003C5945" w:rsidP="00086BEB">
            <w:pPr>
              <w:spacing w:before="0" w:after="0" w:line="240" w:lineRule="auto"/>
              <w:jc w:val="left"/>
              <w:rPr>
                <w:rFonts w:ascii="Calibri" w:hAnsi="Calibri" w:cs="Times New Roman"/>
                <w:color w:val="000000"/>
                <w:spacing w:val="0"/>
                <w:sz w:val="20"/>
                <w:szCs w:val="20"/>
                <w:lang w:val="en-GB"/>
              </w:rPr>
            </w:pPr>
            <w:r w:rsidRPr="003C5945">
              <w:rPr>
                <w:rFonts w:ascii="Calibri" w:hAnsi="Calibri" w:cs="Times New Roman"/>
                <w:color w:val="000000"/>
                <w:spacing w:val="0"/>
                <w:sz w:val="20"/>
                <w:szCs w:val="20"/>
                <w:lang w:val="en-GB"/>
              </w:rPr>
              <w:lastRenderedPageBreak/>
              <w:t> </w:t>
            </w:r>
          </w:p>
        </w:tc>
        <w:tc>
          <w:tcPr>
            <w:tcW w:w="2267" w:type="dxa"/>
            <w:tcBorders>
              <w:top w:val="nil"/>
              <w:left w:val="nil"/>
              <w:bottom w:val="single" w:sz="8" w:space="0" w:color="auto"/>
              <w:right w:val="single" w:sz="8" w:space="0" w:color="auto"/>
            </w:tcBorders>
            <w:shd w:val="clear" w:color="000000" w:fill="BFBFBF"/>
            <w:vAlign w:val="center"/>
            <w:hideMark/>
          </w:tcPr>
          <w:p w14:paraId="14D3C5B2" w14:textId="77777777" w:rsidR="003C5945" w:rsidRPr="003C5945" w:rsidRDefault="003C5945" w:rsidP="00086BEB">
            <w:pPr>
              <w:spacing w:before="0" w:after="0" w:line="240" w:lineRule="auto"/>
              <w:jc w:val="left"/>
              <w:rPr>
                <w:rFonts w:ascii="Calibri" w:hAnsi="Calibri" w:cs="Times New Roman"/>
                <w:color w:val="000000"/>
                <w:spacing w:val="0"/>
                <w:sz w:val="20"/>
                <w:szCs w:val="20"/>
                <w:lang w:val="en-GB"/>
              </w:rPr>
            </w:pPr>
            <w:r w:rsidRPr="003C5945">
              <w:rPr>
                <w:rFonts w:ascii="Calibri" w:hAnsi="Calibri" w:cs="Times New Roman"/>
                <w:color w:val="000000"/>
                <w:spacing w:val="0"/>
                <w:sz w:val="20"/>
                <w:szCs w:val="20"/>
                <w:lang w:val="en-GB"/>
              </w:rPr>
              <w:t> </w:t>
            </w:r>
          </w:p>
        </w:tc>
        <w:tc>
          <w:tcPr>
            <w:tcW w:w="2268" w:type="dxa"/>
            <w:tcBorders>
              <w:top w:val="nil"/>
              <w:left w:val="nil"/>
              <w:bottom w:val="single" w:sz="8" w:space="0" w:color="auto"/>
              <w:right w:val="single" w:sz="8" w:space="0" w:color="auto"/>
            </w:tcBorders>
            <w:shd w:val="clear" w:color="000000" w:fill="BFBFBF"/>
            <w:vAlign w:val="center"/>
            <w:hideMark/>
          </w:tcPr>
          <w:p w14:paraId="7FE371E6" w14:textId="77777777" w:rsidR="003C5945" w:rsidRPr="003C5945" w:rsidRDefault="003C5945" w:rsidP="00086BEB">
            <w:pPr>
              <w:spacing w:before="0" w:after="0" w:line="240" w:lineRule="auto"/>
              <w:jc w:val="left"/>
              <w:rPr>
                <w:rFonts w:ascii="Calibri" w:hAnsi="Calibri" w:cs="Times New Roman"/>
                <w:color w:val="000000"/>
                <w:spacing w:val="0"/>
                <w:sz w:val="20"/>
                <w:szCs w:val="20"/>
                <w:lang w:val="en-GB"/>
              </w:rPr>
            </w:pPr>
            <w:r w:rsidRPr="003C5945">
              <w:rPr>
                <w:rFonts w:ascii="Calibri" w:hAnsi="Calibri" w:cs="Times New Roman"/>
                <w:color w:val="000000"/>
                <w:spacing w:val="0"/>
                <w:sz w:val="20"/>
                <w:szCs w:val="20"/>
                <w:lang w:val="en-GB"/>
              </w:rPr>
              <w:t> </w:t>
            </w:r>
          </w:p>
        </w:tc>
        <w:tc>
          <w:tcPr>
            <w:tcW w:w="2268" w:type="dxa"/>
            <w:tcBorders>
              <w:top w:val="nil"/>
              <w:left w:val="nil"/>
              <w:bottom w:val="single" w:sz="8" w:space="0" w:color="auto"/>
              <w:right w:val="single" w:sz="8" w:space="0" w:color="auto"/>
            </w:tcBorders>
            <w:shd w:val="clear" w:color="000000" w:fill="BFBFBF"/>
            <w:vAlign w:val="center"/>
            <w:hideMark/>
          </w:tcPr>
          <w:p w14:paraId="2B044D5D" w14:textId="77777777" w:rsidR="003C5945" w:rsidRPr="003C5945" w:rsidRDefault="003C5945" w:rsidP="00086BEB">
            <w:pPr>
              <w:spacing w:before="0" w:after="0" w:line="240" w:lineRule="auto"/>
              <w:jc w:val="left"/>
              <w:rPr>
                <w:rFonts w:ascii="Calibri" w:hAnsi="Calibri" w:cs="Times New Roman"/>
                <w:color w:val="000000"/>
                <w:spacing w:val="0"/>
                <w:sz w:val="20"/>
                <w:szCs w:val="20"/>
                <w:lang w:val="en-GB"/>
              </w:rPr>
            </w:pPr>
            <w:r w:rsidRPr="003C5945">
              <w:rPr>
                <w:rFonts w:ascii="Calibri" w:hAnsi="Calibri" w:cs="Times New Roman"/>
                <w:color w:val="000000"/>
                <w:spacing w:val="0"/>
                <w:sz w:val="20"/>
                <w:szCs w:val="20"/>
                <w:lang w:val="en-GB"/>
              </w:rPr>
              <w:t> </w:t>
            </w:r>
          </w:p>
        </w:tc>
        <w:tc>
          <w:tcPr>
            <w:tcW w:w="2268" w:type="dxa"/>
            <w:tcBorders>
              <w:top w:val="nil"/>
              <w:left w:val="nil"/>
              <w:bottom w:val="single" w:sz="8" w:space="0" w:color="auto"/>
              <w:right w:val="single" w:sz="8" w:space="0" w:color="auto"/>
            </w:tcBorders>
            <w:shd w:val="clear" w:color="000000" w:fill="BFBFBF"/>
            <w:vAlign w:val="center"/>
            <w:hideMark/>
          </w:tcPr>
          <w:p w14:paraId="4F071E50" w14:textId="77777777" w:rsidR="003C5945" w:rsidRPr="003C5945" w:rsidRDefault="003C5945" w:rsidP="00086BEB">
            <w:pPr>
              <w:spacing w:before="0" w:after="0" w:line="240" w:lineRule="auto"/>
              <w:jc w:val="left"/>
              <w:rPr>
                <w:rFonts w:ascii="Calibri" w:hAnsi="Calibri" w:cs="Times New Roman"/>
                <w:color w:val="000000"/>
                <w:spacing w:val="0"/>
                <w:sz w:val="20"/>
                <w:szCs w:val="20"/>
                <w:lang w:val="en-GB"/>
              </w:rPr>
            </w:pPr>
            <w:r w:rsidRPr="003C5945">
              <w:rPr>
                <w:rFonts w:ascii="Calibri" w:hAnsi="Calibri" w:cs="Times New Roman"/>
                <w:color w:val="000000"/>
                <w:spacing w:val="0"/>
                <w:sz w:val="20"/>
                <w:szCs w:val="20"/>
                <w:lang w:val="en-GB"/>
              </w:rPr>
              <w:t> </w:t>
            </w:r>
          </w:p>
        </w:tc>
        <w:tc>
          <w:tcPr>
            <w:tcW w:w="2268" w:type="dxa"/>
            <w:tcBorders>
              <w:top w:val="nil"/>
              <w:left w:val="nil"/>
              <w:bottom w:val="single" w:sz="8" w:space="0" w:color="auto"/>
              <w:right w:val="single" w:sz="8" w:space="0" w:color="auto"/>
            </w:tcBorders>
            <w:shd w:val="clear" w:color="000000" w:fill="BFBFBF"/>
            <w:hideMark/>
          </w:tcPr>
          <w:p w14:paraId="5251201E" w14:textId="77777777" w:rsidR="003C5945" w:rsidRPr="003C5945" w:rsidRDefault="003C5945" w:rsidP="00086BEB">
            <w:pPr>
              <w:spacing w:before="0" w:after="0" w:line="240" w:lineRule="auto"/>
              <w:jc w:val="left"/>
              <w:rPr>
                <w:rFonts w:ascii="Calibri" w:hAnsi="Calibri" w:cs="Times New Roman"/>
                <w:color w:val="000000"/>
                <w:spacing w:val="0"/>
                <w:sz w:val="20"/>
                <w:szCs w:val="20"/>
                <w:lang w:val="en-GB"/>
              </w:rPr>
            </w:pPr>
            <w:r w:rsidRPr="003C5945">
              <w:rPr>
                <w:rFonts w:ascii="Calibri" w:hAnsi="Calibri" w:cs="Times New Roman"/>
                <w:color w:val="000000"/>
                <w:spacing w:val="0"/>
                <w:sz w:val="20"/>
                <w:szCs w:val="20"/>
                <w:lang w:val="en-GB"/>
              </w:rPr>
              <w:t> </w:t>
            </w:r>
          </w:p>
        </w:tc>
      </w:tr>
      <w:tr w:rsidR="003C5945" w:rsidRPr="00FF7160" w14:paraId="3ED9C3BD" w14:textId="77777777" w:rsidTr="007B4A3D">
        <w:trPr>
          <w:trHeight w:val="2066"/>
        </w:trPr>
        <w:tc>
          <w:tcPr>
            <w:tcW w:w="2259" w:type="dxa"/>
            <w:vMerge w:val="restart"/>
            <w:tcBorders>
              <w:top w:val="single" w:sz="8" w:space="0" w:color="auto"/>
              <w:left w:val="single" w:sz="8" w:space="0" w:color="auto"/>
              <w:bottom w:val="nil"/>
              <w:right w:val="single" w:sz="8" w:space="0" w:color="auto"/>
            </w:tcBorders>
            <w:shd w:val="clear" w:color="auto" w:fill="auto"/>
            <w:vAlign w:val="center"/>
            <w:hideMark/>
          </w:tcPr>
          <w:p w14:paraId="68656D03" w14:textId="77777777" w:rsidR="003C5945" w:rsidRPr="007B4A3D" w:rsidRDefault="003C5945" w:rsidP="00086BEB">
            <w:pPr>
              <w:spacing w:before="0" w:after="0" w:line="240" w:lineRule="auto"/>
              <w:jc w:val="left"/>
              <w:rPr>
                <w:rFonts w:cs="Times New Roman"/>
                <w:color w:val="000000"/>
                <w:spacing w:val="0"/>
                <w:sz w:val="20"/>
                <w:szCs w:val="20"/>
                <w:lang w:val="en-GB"/>
              </w:rPr>
            </w:pPr>
            <w:r w:rsidRPr="007B4A3D">
              <w:rPr>
                <w:rFonts w:cs="Times New Roman"/>
                <w:color w:val="000000"/>
                <w:spacing w:val="0"/>
                <w:sz w:val="20"/>
                <w:szCs w:val="20"/>
                <w:lang w:val="en-GB"/>
              </w:rPr>
              <w:t>Higher level skills, innovation and research</w:t>
            </w:r>
          </w:p>
        </w:tc>
        <w:tc>
          <w:tcPr>
            <w:tcW w:w="2267" w:type="dxa"/>
            <w:tcBorders>
              <w:top w:val="nil"/>
              <w:left w:val="nil"/>
              <w:bottom w:val="single" w:sz="8" w:space="0" w:color="auto"/>
              <w:right w:val="single" w:sz="8" w:space="0" w:color="auto"/>
            </w:tcBorders>
            <w:shd w:val="clear" w:color="auto" w:fill="auto"/>
            <w:vAlign w:val="center"/>
            <w:hideMark/>
          </w:tcPr>
          <w:p w14:paraId="16140660" w14:textId="77777777" w:rsidR="003C5945" w:rsidRPr="007B4A3D" w:rsidRDefault="003C5945" w:rsidP="00086BEB">
            <w:pPr>
              <w:spacing w:before="0" w:after="0" w:line="240" w:lineRule="auto"/>
              <w:jc w:val="left"/>
              <w:rPr>
                <w:rFonts w:cs="Times New Roman"/>
                <w:color w:val="000000"/>
                <w:spacing w:val="0"/>
                <w:sz w:val="20"/>
                <w:szCs w:val="20"/>
                <w:lang w:val="en-GB"/>
              </w:rPr>
            </w:pPr>
            <w:r w:rsidRPr="007B4A3D">
              <w:rPr>
                <w:rFonts w:cs="Times New Roman"/>
                <w:color w:val="000000"/>
                <w:spacing w:val="0"/>
                <w:sz w:val="20"/>
                <w:szCs w:val="20"/>
                <w:lang w:val="en-GB"/>
              </w:rPr>
              <w:t>Sector skills plans identify the supply challenges in relation to high level scarce skills gaps and set out strategies for addressing them</w:t>
            </w:r>
          </w:p>
        </w:tc>
        <w:tc>
          <w:tcPr>
            <w:tcW w:w="2268" w:type="dxa"/>
            <w:tcBorders>
              <w:top w:val="nil"/>
              <w:left w:val="nil"/>
              <w:bottom w:val="single" w:sz="8" w:space="0" w:color="auto"/>
              <w:right w:val="single" w:sz="8" w:space="0" w:color="auto"/>
            </w:tcBorders>
            <w:shd w:val="clear" w:color="auto" w:fill="auto"/>
            <w:vAlign w:val="center"/>
            <w:hideMark/>
          </w:tcPr>
          <w:p w14:paraId="13DFE567" w14:textId="77777777" w:rsidR="003C5945" w:rsidRPr="003C5945" w:rsidRDefault="003C5945" w:rsidP="00086BEB">
            <w:pPr>
              <w:spacing w:before="0" w:after="0" w:line="240" w:lineRule="auto"/>
              <w:jc w:val="left"/>
              <w:rPr>
                <w:rFonts w:ascii="Calibri" w:hAnsi="Calibri" w:cs="Times New Roman"/>
                <w:color w:val="000000"/>
                <w:spacing w:val="0"/>
                <w:sz w:val="20"/>
                <w:szCs w:val="20"/>
                <w:lang w:val="en-GB"/>
              </w:rPr>
            </w:pPr>
            <w:r w:rsidRPr="003C5945">
              <w:rPr>
                <w:rFonts w:ascii="Calibri" w:hAnsi="Calibri" w:cs="Times New Roman"/>
                <w:color w:val="000000"/>
                <w:spacing w:val="0"/>
                <w:sz w:val="20"/>
                <w:szCs w:val="20"/>
                <w:lang w:val="en-GB"/>
              </w:rPr>
              <w:t>Sector projects are put in place to address specific sector skills gaps.</w:t>
            </w:r>
          </w:p>
        </w:tc>
        <w:tc>
          <w:tcPr>
            <w:tcW w:w="2268" w:type="dxa"/>
            <w:tcBorders>
              <w:top w:val="nil"/>
              <w:left w:val="nil"/>
              <w:bottom w:val="single" w:sz="8" w:space="0" w:color="auto"/>
              <w:right w:val="single" w:sz="8" w:space="0" w:color="auto"/>
            </w:tcBorders>
            <w:shd w:val="clear" w:color="auto" w:fill="auto"/>
            <w:vAlign w:val="center"/>
            <w:hideMark/>
          </w:tcPr>
          <w:p w14:paraId="62E20EC7" w14:textId="77777777" w:rsidR="003C5945" w:rsidRPr="003C5945" w:rsidRDefault="003C5945" w:rsidP="00086BEB">
            <w:pPr>
              <w:spacing w:before="0" w:after="0" w:line="240" w:lineRule="auto"/>
              <w:jc w:val="left"/>
              <w:rPr>
                <w:rFonts w:ascii="Calibri" w:hAnsi="Calibri" w:cs="Times New Roman"/>
                <w:color w:val="000000"/>
                <w:spacing w:val="0"/>
                <w:sz w:val="20"/>
                <w:szCs w:val="20"/>
                <w:lang w:val="en-GB"/>
              </w:rPr>
            </w:pPr>
            <w:r w:rsidRPr="003C5945">
              <w:rPr>
                <w:rFonts w:ascii="Calibri" w:hAnsi="Calibri" w:cs="Times New Roman"/>
                <w:color w:val="000000"/>
                <w:spacing w:val="0"/>
                <w:sz w:val="20"/>
                <w:szCs w:val="20"/>
                <w:lang w:val="en-GB"/>
              </w:rPr>
              <w:t>Agreements are entered into between SETAs, university faculties and other stakeholders on flagship research projects linked to sector development in a knowledge economy</w:t>
            </w:r>
          </w:p>
        </w:tc>
        <w:tc>
          <w:tcPr>
            <w:tcW w:w="2268" w:type="dxa"/>
            <w:tcBorders>
              <w:top w:val="nil"/>
              <w:left w:val="nil"/>
              <w:bottom w:val="single" w:sz="8" w:space="0" w:color="auto"/>
              <w:right w:val="single" w:sz="8" w:space="0" w:color="auto"/>
            </w:tcBorders>
            <w:shd w:val="clear" w:color="auto" w:fill="auto"/>
            <w:vAlign w:val="center"/>
            <w:hideMark/>
          </w:tcPr>
          <w:p w14:paraId="4954DF5E" w14:textId="77777777" w:rsidR="003C5945" w:rsidRPr="003C5945" w:rsidRDefault="003C5945" w:rsidP="00086BEB">
            <w:pPr>
              <w:spacing w:before="0" w:after="0" w:line="240" w:lineRule="auto"/>
              <w:jc w:val="left"/>
              <w:rPr>
                <w:rFonts w:ascii="Calibri" w:hAnsi="Calibri" w:cs="Times New Roman"/>
                <w:color w:val="000000"/>
                <w:spacing w:val="0"/>
                <w:sz w:val="20"/>
                <w:szCs w:val="20"/>
                <w:lang w:val="en-GB"/>
              </w:rPr>
            </w:pPr>
            <w:r w:rsidRPr="003C5945">
              <w:rPr>
                <w:rFonts w:ascii="Calibri" w:hAnsi="Calibri" w:cs="Times New Roman"/>
                <w:color w:val="000000"/>
                <w:spacing w:val="0"/>
                <w:sz w:val="20"/>
                <w:szCs w:val="20"/>
                <w:lang w:val="en-GB"/>
              </w:rPr>
              <w:t>The academic staff at colleges are able to offer relevant education and training of the required quality</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14:paraId="116DDD91" w14:textId="77777777" w:rsidR="003C5945" w:rsidRPr="003C5945" w:rsidRDefault="003C5945" w:rsidP="00086BEB">
            <w:pPr>
              <w:spacing w:before="0" w:after="0" w:line="240" w:lineRule="auto"/>
              <w:jc w:val="left"/>
              <w:rPr>
                <w:rFonts w:ascii="Calibri" w:hAnsi="Calibri" w:cs="Times New Roman"/>
                <w:color w:val="000000"/>
                <w:spacing w:val="0"/>
                <w:sz w:val="20"/>
                <w:szCs w:val="20"/>
                <w:lang w:val="en-GB"/>
              </w:rPr>
            </w:pPr>
            <w:r w:rsidRPr="003C5945">
              <w:rPr>
                <w:rFonts w:ascii="Calibri" w:hAnsi="Calibri" w:cs="Times New Roman"/>
                <w:color w:val="000000"/>
                <w:spacing w:val="0"/>
                <w:sz w:val="20"/>
                <w:szCs w:val="20"/>
                <w:lang w:val="en-GB"/>
              </w:rPr>
              <w:t>High level national scarce skills needs are being addressed by work ready graduates from higher education institutions</w:t>
            </w:r>
          </w:p>
        </w:tc>
      </w:tr>
      <w:tr w:rsidR="003C5945" w:rsidRPr="00FF7160" w14:paraId="697F6491" w14:textId="77777777" w:rsidTr="007B4A3D">
        <w:trPr>
          <w:trHeight w:val="831"/>
        </w:trPr>
        <w:tc>
          <w:tcPr>
            <w:tcW w:w="2259" w:type="dxa"/>
            <w:vMerge/>
            <w:tcBorders>
              <w:top w:val="single" w:sz="8" w:space="0" w:color="auto"/>
              <w:left w:val="single" w:sz="8" w:space="0" w:color="auto"/>
              <w:bottom w:val="nil"/>
              <w:right w:val="single" w:sz="8" w:space="0" w:color="auto"/>
            </w:tcBorders>
            <w:vAlign w:val="center"/>
            <w:hideMark/>
          </w:tcPr>
          <w:p w14:paraId="43370F1D" w14:textId="77777777" w:rsidR="003C5945" w:rsidRPr="003C5945" w:rsidRDefault="003C5945" w:rsidP="00086BEB">
            <w:pPr>
              <w:spacing w:before="0" w:after="0" w:line="240" w:lineRule="auto"/>
              <w:jc w:val="left"/>
              <w:rPr>
                <w:rFonts w:ascii="Calibri" w:hAnsi="Calibri" w:cs="Times New Roman"/>
                <w:color w:val="000000"/>
                <w:spacing w:val="0"/>
                <w:sz w:val="20"/>
                <w:szCs w:val="20"/>
                <w:lang w:val="en-GB"/>
              </w:rPr>
            </w:pPr>
          </w:p>
        </w:tc>
        <w:tc>
          <w:tcPr>
            <w:tcW w:w="2267" w:type="dxa"/>
            <w:tcBorders>
              <w:top w:val="nil"/>
              <w:left w:val="nil"/>
              <w:bottom w:val="single" w:sz="8" w:space="0" w:color="auto"/>
              <w:right w:val="single" w:sz="8" w:space="0" w:color="auto"/>
            </w:tcBorders>
            <w:shd w:val="clear" w:color="auto" w:fill="auto"/>
            <w:vAlign w:val="center"/>
            <w:hideMark/>
          </w:tcPr>
          <w:p w14:paraId="324BA321" w14:textId="77777777" w:rsidR="003C5945" w:rsidRPr="003C5945" w:rsidRDefault="003C5945" w:rsidP="00086BEB">
            <w:pPr>
              <w:spacing w:before="0" w:after="0" w:line="240" w:lineRule="auto"/>
              <w:jc w:val="left"/>
              <w:rPr>
                <w:rFonts w:ascii="Calibri" w:hAnsi="Calibri" w:cs="Times New Roman"/>
                <w:color w:val="000000"/>
                <w:spacing w:val="0"/>
                <w:sz w:val="20"/>
                <w:szCs w:val="20"/>
                <w:lang w:val="en-GB"/>
              </w:rPr>
            </w:pPr>
            <w:r w:rsidRPr="003C5945">
              <w:rPr>
                <w:rFonts w:ascii="Calibri" w:hAnsi="Calibri" w:cs="Times New Roman"/>
                <w:color w:val="000000"/>
                <w:spacing w:val="0"/>
                <w:sz w:val="20"/>
                <w:szCs w:val="20"/>
                <w:lang w:val="en-GB"/>
              </w:rPr>
              <w:t>Sector skills plans identify the focal areas for research, innovation and development</w:t>
            </w:r>
          </w:p>
        </w:tc>
        <w:tc>
          <w:tcPr>
            <w:tcW w:w="2268" w:type="dxa"/>
            <w:tcBorders>
              <w:top w:val="nil"/>
              <w:left w:val="nil"/>
              <w:bottom w:val="single" w:sz="8" w:space="0" w:color="auto"/>
              <w:right w:val="single" w:sz="8" w:space="0" w:color="auto"/>
            </w:tcBorders>
            <w:shd w:val="clear" w:color="auto" w:fill="auto"/>
            <w:vAlign w:val="center"/>
            <w:hideMark/>
          </w:tcPr>
          <w:p w14:paraId="02B0DC88" w14:textId="77777777" w:rsidR="003C5945" w:rsidRPr="003C5945" w:rsidRDefault="003C5945" w:rsidP="00086BEB">
            <w:pPr>
              <w:spacing w:before="0" w:after="0" w:line="240" w:lineRule="auto"/>
              <w:jc w:val="left"/>
              <w:rPr>
                <w:rFonts w:ascii="Calibri" w:hAnsi="Calibri" w:cs="Times New Roman"/>
                <w:color w:val="000000"/>
                <w:spacing w:val="0"/>
                <w:sz w:val="20"/>
                <w:szCs w:val="20"/>
                <w:lang w:val="en-GB"/>
              </w:rPr>
            </w:pPr>
            <w:r w:rsidRPr="003C5945">
              <w:rPr>
                <w:rFonts w:ascii="Calibri" w:hAnsi="Calibri" w:cs="Times New Roman"/>
                <w:color w:val="000000"/>
                <w:spacing w:val="0"/>
                <w:sz w:val="20"/>
                <w:szCs w:val="20"/>
                <w:lang w:val="en-GB"/>
              </w:rPr>
              <w:t>Agreements are entered into between SETAs, university faculties and other stakeholders on appropriate interventions to support improved entry to priority programmes, increased work experience and experiential learning for students and access to post-graduate work placements</w:t>
            </w:r>
          </w:p>
        </w:tc>
        <w:tc>
          <w:tcPr>
            <w:tcW w:w="2268" w:type="dxa"/>
            <w:tcBorders>
              <w:top w:val="nil"/>
              <w:left w:val="nil"/>
              <w:bottom w:val="single" w:sz="8" w:space="0" w:color="auto"/>
              <w:right w:val="single" w:sz="8" w:space="0" w:color="auto"/>
            </w:tcBorders>
            <w:shd w:val="clear" w:color="auto" w:fill="auto"/>
            <w:vAlign w:val="center"/>
            <w:hideMark/>
          </w:tcPr>
          <w:p w14:paraId="34C6B502" w14:textId="77777777" w:rsidR="003C5945" w:rsidRPr="003C5945" w:rsidRDefault="003C5945" w:rsidP="00086BEB">
            <w:pPr>
              <w:spacing w:before="0" w:after="0" w:line="240" w:lineRule="auto"/>
              <w:jc w:val="left"/>
              <w:rPr>
                <w:rFonts w:ascii="Calibri" w:hAnsi="Calibri" w:cs="Times New Roman"/>
                <w:color w:val="000000"/>
                <w:spacing w:val="0"/>
                <w:sz w:val="20"/>
                <w:szCs w:val="20"/>
                <w:lang w:val="en-GB"/>
              </w:rPr>
            </w:pPr>
            <w:r w:rsidRPr="003C5945">
              <w:rPr>
                <w:rFonts w:ascii="Calibri" w:hAnsi="Calibri" w:cs="Times New Roman"/>
                <w:color w:val="000000"/>
                <w:spacing w:val="0"/>
                <w:sz w:val="20"/>
                <w:szCs w:val="20"/>
                <w:lang w:val="en-GB"/>
              </w:rPr>
              <w:t>Agreements are entered into between SETAs, university faculties and other stakeholders on flagship research projects linked to sector development in a knowledge economy</w:t>
            </w:r>
          </w:p>
        </w:tc>
        <w:tc>
          <w:tcPr>
            <w:tcW w:w="2268" w:type="dxa"/>
            <w:tcBorders>
              <w:top w:val="nil"/>
              <w:left w:val="nil"/>
              <w:bottom w:val="single" w:sz="8" w:space="0" w:color="auto"/>
              <w:right w:val="single" w:sz="8" w:space="0" w:color="auto"/>
            </w:tcBorders>
            <w:shd w:val="clear" w:color="auto" w:fill="auto"/>
            <w:vAlign w:val="center"/>
            <w:hideMark/>
          </w:tcPr>
          <w:p w14:paraId="0D78224A" w14:textId="77777777" w:rsidR="003C5945" w:rsidRPr="003C5945" w:rsidRDefault="003C5945" w:rsidP="00086BEB">
            <w:pPr>
              <w:spacing w:before="0" w:after="0" w:line="240" w:lineRule="auto"/>
              <w:jc w:val="left"/>
              <w:rPr>
                <w:rFonts w:ascii="Calibri" w:hAnsi="Calibri" w:cs="Times New Roman"/>
                <w:color w:val="000000"/>
                <w:spacing w:val="0"/>
                <w:sz w:val="20"/>
                <w:szCs w:val="20"/>
                <w:lang w:val="en-GB"/>
              </w:rPr>
            </w:pPr>
            <w:r w:rsidRPr="003C5945">
              <w:rPr>
                <w:rFonts w:ascii="Calibri" w:hAnsi="Calibri" w:cs="Times New Roman"/>
                <w:color w:val="000000"/>
                <w:spacing w:val="0"/>
                <w:sz w:val="20"/>
                <w:szCs w:val="20"/>
                <w:lang w:val="en-GB"/>
              </w:rPr>
              <w:t>Expanded levels and quality of industry relevant research</w:t>
            </w:r>
          </w:p>
        </w:tc>
        <w:tc>
          <w:tcPr>
            <w:tcW w:w="2268" w:type="dxa"/>
            <w:vMerge/>
            <w:tcBorders>
              <w:top w:val="nil"/>
              <w:left w:val="single" w:sz="8" w:space="0" w:color="auto"/>
              <w:bottom w:val="single" w:sz="8" w:space="0" w:color="000000"/>
              <w:right w:val="single" w:sz="8" w:space="0" w:color="auto"/>
            </w:tcBorders>
            <w:vAlign w:val="center"/>
            <w:hideMark/>
          </w:tcPr>
          <w:p w14:paraId="1B28061E" w14:textId="77777777" w:rsidR="003C5945" w:rsidRPr="003C5945" w:rsidRDefault="003C5945" w:rsidP="00086BEB">
            <w:pPr>
              <w:spacing w:before="0" w:after="0" w:line="240" w:lineRule="auto"/>
              <w:jc w:val="left"/>
              <w:rPr>
                <w:rFonts w:ascii="Calibri" w:hAnsi="Calibri" w:cs="Times New Roman"/>
                <w:color w:val="000000"/>
                <w:spacing w:val="0"/>
                <w:sz w:val="20"/>
                <w:szCs w:val="20"/>
                <w:lang w:val="en-GB"/>
              </w:rPr>
            </w:pPr>
          </w:p>
        </w:tc>
      </w:tr>
      <w:tr w:rsidR="003C5945" w:rsidRPr="00FF7160" w14:paraId="503CAB11" w14:textId="77777777" w:rsidTr="007B4A3D">
        <w:trPr>
          <w:trHeight w:val="120"/>
        </w:trPr>
        <w:tc>
          <w:tcPr>
            <w:tcW w:w="2259"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14:paraId="57420D4E" w14:textId="77777777" w:rsidR="003C5945" w:rsidRPr="003C5945" w:rsidRDefault="003C5945" w:rsidP="00086BEB">
            <w:pPr>
              <w:spacing w:before="0" w:after="0" w:line="240" w:lineRule="auto"/>
              <w:jc w:val="left"/>
              <w:rPr>
                <w:rFonts w:ascii="Calibri" w:hAnsi="Calibri" w:cs="Times New Roman"/>
                <w:color w:val="FF0000"/>
                <w:spacing w:val="0"/>
                <w:sz w:val="20"/>
                <w:szCs w:val="20"/>
                <w:lang w:val="en-GB"/>
              </w:rPr>
            </w:pPr>
            <w:r w:rsidRPr="003C5945">
              <w:rPr>
                <w:rFonts w:ascii="Calibri" w:hAnsi="Calibri" w:cs="Times New Roman"/>
                <w:color w:val="FF0000"/>
                <w:spacing w:val="0"/>
                <w:sz w:val="20"/>
                <w:szCs w:val="20"/>
                <w:lang w:val="en-GB"/>
              </w:rPr>
              <w:t> </w:t>
            </w:r>
          </w:p>
        </w:tc>
        <w:tc>
          <w:tcPr>
            <w:tcW w:w="2267" w:type="dxa"/>
            <w:tcBorders>
              <w:top w:val="nil"/>
              <w:left w:val="nil"/>
              <w:bottom w:val="single" w:sz="8" w:space="0" w:color="auto"/>
              <w:right w:val="single" w:sz="8" w:space="0" w:color="auto"/>
            </w:tcBorders>
            <w:shd w:val="clear" w:color="000000" w:fill="BFBFBF"/>
            <w:vAlign w:val="center"/>
            <w:hideMark/>
          </w:tcPr>
          <w:p w14:paraId="1C054221" w14:textId="77777777" w:rsidR="003C5945" w:rsidRPr="003C5945" w:rsidRDefault="003C5945" w:rsidP="00086BEB">
            <w:pPr>
              <w:spacing w:before="0" w:after="0" w:line="240" w:lineRule="auto"/>
              <w:jc w:val="left"/>
              <w:rPr>
                <w:rFonts w:ascii="Calibri" w:hAnsi="Calibri" w:cs="Times New Roman"/>
                <w:color w:val="FF0000"/>
                <w:spacing w:val="0"/>
                <w:sz w:val="20"/>
                <w:szCs w:val="20"/>
                <w:lang w:val="en-GB"/>
              </w:rPr>
            </w:pPr>
            <w:r w:rsidRPr="003C5945">
              <w:rPr>
                <w:rFonts w:ascii="Calibri" w:hAnsi="Calibri" w:cs="Times New Roman"/>
                <w:color w:val="FF0000"/>
                <w:spacing w:val="0"/>
                <w:sz w:val="20"/>
                <w:szCs w:val="20"/>
                <w:lang w:val="en-GB"/>
              </w:rPr>
              <w:t> </w:t>
            </w:r>
          </w:p>
        </w:tc>
        <w:tc>
          <w:tcPr>
            <w:tcW w:w="2268" w:type="dxa"/>
            <w:tcBorders>
              <w:top w:val="nil"/>
              <w:left w:val="nil"/>
              <w:bottom w:val="single" w:sz="8" w:space="0" w:color="auto"/>
              <w:right w:val="single" w:sz="8" w:space="0" w:color="auto"/>
            </w:tcBorders>
            <w:shd w:val="clear" w:color="000000" w:fill="BFBFBF"/>
            <w:vAlign w:val="center"/>
            <w:hideMark/>
          </w:tcPr>
          <w:p w14:paraId="3047B9BD" w14:textId="77777777" w:rsidR="003C5945" w:rsidRPr="003C5945" w:rsidRDefault="003C5945" w:rsidP="00086BEB">
            <w:pPr>
              <w:spacing w:before="0" w:after="0" w:line="240" w:lineRule="auto"/>
              <w:jc w:val="left"/>
              <w:rPr>
                <w:rFonts w:ascii="Calibri" w:hAnsi="Calibri" w:cs="Times New Roman"/>
                <w:color w:val="FF0000"/>
                <w:spacing w:val="0"/>
                <w:sz w:val="20"/>
                <w:szCs w:val="20"/>
                <w:lang w:val="en-GB"/>
              </w:rPr>
            </w:pPr>
            <w:r w:rsidRPr="003C5945">
              <w:rPr>
                <w:rFonts w:ascii="Calibri" w:hAnsi="Calibri" w:cs="Times New Roman"/>
                <w:color w:val="FF0000"/>
                <w:spacing w:val="0"/>
                <w:sz w:val="20"/>
                <w:szCs w:val="20"/>
                <w:lang w:val="en-GB"/>
              </w:rPr>
              <w:t> </w:t>
            </w:r>
          </w:p>
        </w:tc>
        <w:tc>
          <w:tcPr>
            <w:tcW w:w="2268" w:type="dxa"/>
            <w:tcBorders>
              <w:top w:val="nil"/>
              <w:left w:val="nil"/>
              <w:bottom w:val="single" w:sz="8" w:space="0" w:color="auto"/>
              <w:right w:val="single" w:sz="8" w:space="0" w:color="auto"/>
            </w:tcBorders>
            <w:shd w:val="clear" w:color="000000" w:fill="BFBFBF"/>
            <w:vAlign w:val="center"/>
            <w:hideMark/>
          </w:tcPr>
          <w:p w14:paraId="75FB7A44" w14:textId="77777777" w:rsidR="003C5945" w:rsidRPr="003C5945" w:rsidRDefault="003C5945" w:rsidP="00086BEB">
            <w:pPr>
              <w:spacing w:before="0" w:after="0" w:line="240" w:lineRule="auto"/>
              <w:jc w:val="left"/>
              <w:rPr>
                <w:rFonts w:ascii="Calibri" w:hAnsi="Calibri" w:cs="Times New Roman"/>
                <w:color w:val="FF0000"/>
                <w:spacing w:val="0"/>
                <w:sz w:val="20"/>
                <w:szCs w:val="20"/>
                <w:lang w:val="en-GB"/>
              </w:rPr>
            </w:pPr>
            <w:r w:rsidRPr="003C5945">
              <w:rPr>
                <w:rFonts w:ascii="Calibri" w:hAnsi="Calibri" w:cs="Times New Roman"/>
                <w:color w:val="FF0000"/>
                <w:spacing w:val="0"/>
                <w:sz w:val="20"/>
                <w:szCs w:val="20"/>
                <w:lang w:val="en-GB"/>
              </w:rPr>
              <w:t> </w:t>
            </w:r>
          </w:p>
        </w:tc>
        <w:tc>
          <w:tcPr>
            <w:tcW w:w="2268" w:type="dxa"/>
            <w:tcBorders>
              <w:top w:val="nil"/>
              <w:left w:val="nil"/>
              <w:bottom w:val="single" w:sz="8" w:space="0" w:color="auto"/>
              <w:right w:val="single" w:sz="8" w:space="0" w:color="auto"/>
            </w:tcBorders>
            <w:shd w:val="clear" w:color="000000" w:fill="BFBFBF"/>
            <w:vAlign w:val="center"/>
            <w:hideMark/>
          </w:tcPr>
          <w:p w14:paraId="3629A57B" w14:textId="77777777" w:rsidR="003C5945" w:rsidRPr="003C5945" w:rsidRDefault="003C5945" w:rsidP="00086BEB">
            <w:pPr>
              <w:spacing w:before="0" w:after="0" w:line="240" w:lineRule="auto"/>
              <w:jc w:val="left"/>
              <w:rPr>
                <w:rFonts w:ascii="Calibri" w:hAnsi="Calibri" w:cs="Times New Roman"/>
                <w:color w:val="FF0000"/>
                <w:spacing w:val="0"/>
                <w:sz w:val="20"/>
                <w:szCs w:val="20"/>
                <w:lang w:val="en-GB"/>
              </w:rPr>
            </w:pPr>
            <w:r w:rsidRPr="003C5945">
              <w:rPr>
                <w:rFonts w:ascii="Calibri" w:hAnsi="Calibri" w:cs="Times New Roman"/>
                <w:color w:val="FF0000"/>
                <w:spacing w:val="0"/>
                <w:sz w:val="20"/>
                <w:szCs w:val="20"/>
                <w:lang w:val="en-GB"/>
              </w:rPr>
              <w:t> </w:t>
            </w:r>
          </w:p>
        </w:tc>
        <w:tc>
          <w:tcPr>
            <w:tcW w:w="2268" w:type="dxa"/>
            <w:tcBorders>
              <w:top w:val="nil"/>
              <w:left w:val="nil"/>
              <w:bottom w:val="single" w:sz="8" w:space="0" w:color="auto"/>
              <w:right w:val="single" w:sz="8" w:space="0" w:color="auto"/>
            </w:tcBorders>
            <w:shd w:val="clear" w:color="000000" w:fill="BFBFBF"/>
            <w:vAlign w:val="center"/>
            <w:hideMark/>
          </w:tcPr>
          <w:p w14:paraId="76986A8D" w14:textId="77777777" w:rsidR="003C5945" w:rsidRPr="003C5945" w:rsidRDefault="003C5945" w:rsidP="00086BEB">
            <w:pPr>
              <w:spacing w:before="0" w:after="0" w:line="240" w:lineRule="auto"/>
              <w:jc w:val="left"/>
              <w:rPr>
                <w:rFonts w:ascii="Calibri" w:hAnsi="Calibri" w:cs="Times New Roman"/>
                <w:color w:val="FF0000"/>
                <w:spacing w:val="0"/>
                <w:sz w:val="20"/>
                <w:szCs w:val="20"/>
                <w:lang w:val="en-GB"/>
              </w:rPr>
            </w:pPr>
            <w:r w:rsidRPr="003C5945">
              <w:rPr>
                <w:rFonts w:ascii="Calibri" w:hAnsi="Calibri" w:cs="Times New Roman"/>
                <w:color w:val="FF0000"/>
                <w:spacing w:val="0"/>
                <w:sz w:val="20"/>
                <w:szCs w:val="20"/>
                <w:lang w:val="en-GB"/>
              </w:rPr>
              <w:t> </w:t>
            </w:r>
          </w:p>
        </w:tc>
      </w:tr>
      <w:tr w:rsidR="003C5945" w:rsidRPr="00FF7160" w14:paraId="056DF87A" w14:textId="77777777" w:rsidTr="007B4A3D">
        <w:trPr>
          <w:trHeight w:val="2308"/>
        </w:trPr>
        <w:tc>
          <w:tcPr>
            <w:tcW w:w="2259" w:type="dxa"/>
            <w:tcBorders>
              <w:top w:val="nil"/>
              <w:left w:val="single" w:sz="8" w:space="0" w:color="auto"/>
              <w:bottom w:val="single" w:sz="8" w:space="0" w:color="auto"/>
              <w:right w:val="single" w:sz="8" w:space="0" w:color="auto"/>
            </w:tcBorders>
            <w:shd w:val="clear" w:color="auto" w:fill="auto"/>
            <w:vAlign w:val="center"/>
            <w:hideMark/>
          </w:tcPr>
          <w:p w14:paraId="427B9127" w14:textId="77777777" w:rsidR="003C5945" w:rsidRPr="003C5945" w:rsidRDefault="003C5945" w:rsidP="00086BEB">
            <w:pPr>
              <w:spacing w:before="0" w:after="0" w:line="240" w:lineRule="auto"/>
              <w:jc w:val="left"/>
              <w:rPr>
                <w:rFonts w:ascii="Calibri" w:hAnsi="Calibri" w:cs="Times New Roman"/>
                <w:color w:val="000000"/>
                <w:spacing w:val="0"/>
                <w:sz w:val="20"/>
                <w:szCs w:val="20"/>
                <w:lang w:val="en-GB"/>
              </w:rPr>
            </w:pPr>
            <w:r w:rsidRPr="003C5945">
              <w:rPr>
                <w:rFonts w:ascii="Calibri" w:hAnsi="Calibri" w:cs="Times New Roman"/>
                <w:color w:val="000000"/>
                <w:spacing w:val="0"/>
                <w:sz w:val="20"/>
                <w:szCs w:val="20"/>
                <w:lang w:val="en-GB"/>
              </w:rPr>
              <w:lastRenderedPageBreak/>
              <w:t>Skills for unemployed youth</w:t>
            </w:r>
          </w:p>
        </w:tc>
        <w:tc>
          <w:tcPr>
            <w:tcW w:w="2267" w:type="dxa"/>
            <w:tcBorders>
              <w:top w:val="nil"/>
              <w:left w:val="nil"/>
              <w:bottom w:val="single" w:sz="8" w:space="0" w:color="auto"/>
              <w:right w:val="single" w:sz="8" w:space="0" w:color="auto"/>
            </w:tcBorders>
            <w:shd w:val="clear" w:color="auto" w:fill="auto"/>
            <w:vAlign w:val="center"/>
            <w:hideMark/>
          </w:tcPr>
          <w:p w14:paraId="197C672D" w14:textId="77777777" w:rsidR="003C5945" w:rsidRPr="003C5945" w:rsidRDefault="003C5945" w:rsidP="00086BEB">
            <w:pPr>
              <w:spacing w:before="0" w:after="0" w:line="240" w:lineRule="auto"/>
              <w:jc w:val="left"/>
              <w:rPr>
                <w:rFonts w:ascii="Calibri" w:hAnsi="Calibri" w:cs="Times New Roman"/>
                <w:color w:val="000000"/>
                <w:spacing w:val="0"/>
                <w:sz w:val="20"/>
                <w:szCs w:val="20"/>
                <w:lang w:val="en-GB"/>
              </w:rPr>
            </w:pPr>
            <w:r w:rsidRPr="003C5945">
              <w:rPr>
                <w:rFonts w:ascii="Calibri" w:hAnsi="Calibri" w:cs="Times New Roman"/>
                <w:color w:val="000000"/>
                <w:spacing w:val="0"/>
                <w:sz w:val="20"/>
                <w:szCs w:val="20"/>
                <w:lang w:val="en-GB"/>
              </w:rPr>
              <w:t>The DHET partners with stakeholders in the youth sector to put in place training and work experience projects for young people.</w:t>
            </w:r>
          </w:p>
        </w:tc>
        <w:tc>
          <w:tcPr>
            <w:tcW w:w="2268" w:type="dxa"/>
            <w:tcBorders>
              <w:top w:val="nil"/>
              <w:left w:val="nil"/>
              <w:bottom w:val="single" w:sz="8" w:space="0" w:color="auto"/>
              <w:right w:val="single" w:sz="8" w:space="0" w:color="auto"/>
            </w:tcBorders>
            <w:shd w:val="clear" w:color="auto" w:fill="auto"/>
            <w:vAlign w:val="center"/>
            <w:hideMark/>
          </w:tcPr>
          <w:p w14:paraId="0B18B588" w14:textId="77777777" w:rsidR="003C5945" w:rsidRPr="003C5945" w:rsidRDefault="003C5945" w:rsidP="00086BEB">
            <w:pPr>
              <w:spacing w:before="0" w:after="0" w:line="240" w:lineRule="auto"/>
              <w:jc w:val="left"/>
              <w:rPr>
                <w:rFonts w:ascii="Calibri" w:hAnsi="Calibri" w:cs="Times New Roman"/>
                <w:color w:val="000000"/>
                <w:spacing w:val="0"/>
                <w:sz w:val="20"/>
                <w:szCs w:val="20"/>
                <w:lang w:val="en-GB"/>
              </w:rPr>
            </w:pPr>
            <w:r w:rsidRPr="003C5945">
              <w:rPr>
                <w:rFonts w:ascii="Calibri" w:hAnsi="Calibri" w:cs="Times New Roman"/>
                <w:color w:val="000000"/>
                <w:spacing w:val="0"/>
                <w:sz w:val="20"/>
                <w:szCs w:val="20"/>
                <w:lang w:val="en-GB"/>
              </w:rPr>
              <w:t xml:space="preserve">A national strategy is in place to provide all young people leaving school with an opportunity to engage in training or work experience, and improve their employability. </w:t>
            </w:r>
          </w:p>
        </w:tc>
        <w:tc>
          <w:tcPr>
            <w:tcW w:w="2268" w:type="dxa"/>
            <w:tcBorders>
              <w:top w:val="nil"/>
              <w:left w:val="nil"/>
              <w:bottom w:val="single" w:sz="8" w:space="0" w:color="auto"/>
              <w:right w:val="single" w:sz="8" w:space="0" w:color="auto"/>
            </w:tcBorders>
            <w:shd w:val="clear" w:color="auto" w:fill="auto"/>
            <w:vAlign w:val="center"/>
            <w:hideMark/>
          </w:tcPr>
          <w:p w14:paraId="5CD3608D" w14:textId="77777777" w:rsidR="003C5945" w:rsidRPr="003C5945" w:rsidRDefault="003C5945" w:rsidP="00086BEB">
            <w:pPr>
              <w:spacing w:before="0" w:after="0" w:line="240" w:lineRule="auto"/>
              <w:jc w:val="left"/>
              <w:rPr>
                <w:rFonts w:ascii="Calibri" w:hAnsi="Calibri" w:cs="Times New Roman"/>
                <w:color w:val="000000"/>
                <w:spacing w:val="0"/>
                <w:sz w:val="20"/>
                <w:szCs w:val="20"/>
                <w:lang w:val="en-GB"/>
              </w:rPr>
            </w:pPr>
            <w:r w:rsidRPr="003C5945">
              <w:rPr>
                <w:rFonts w:ascii="Calibri" w:hAnsi="Calibri" w:cs="Times New Roman"/>
                <w:color w:val="000000"/>
                <w:spacing w:val="0"/>
                <w:sz w:val="20"/>
                <w:szCs w:val="20"/>
                <w:lang w:val="en-GB"/>
              </w:rPr>
              <w:t>Training and work experience provided to unemployed young people</w:t>
            </w:r>
          </w:p>
        </w:tc>
        <w:tc>
          <w:tcPr>
            <w:tcW w:w="2268" w:type="dxa"/>
            <w:tcBorders>
              <w:top w:val="nil"/>
              <w:left w:val="nil"/>
              <w:bottom w:val="single" w:sz="8" w:space="0" w:color="auto"/>
              <w:right w:val="single" w:sz="8" w:space="0" w:color="auto"/>
            </w:tcBorders>
            <w:shd w:val="clear" w:color="auto" w:fill="auto"/>
            <w:vAlign w:val="center"/>
            <w:hideMark/>
          </w:tcPr>
          <w:p w14:paraId="1209C048" w14:textId="77777777" w:rsidR="003C5945" w:rsidRPr="003C5945" w:rsidRDefault="003C5945" w:rsidP="00086BEB">
            <w:pPr>
              <w:spacing w:before="0" w:after="0" w:line="240" w:lineRule="auto"/>
              <w:jc w:val="left"/>
              <w:rPr>
                <w:rFonts w:ascii="Calibri" w:hAnsi="Calibri" w:cs="Times New Roman"/>
                <w:color w:val="000000"/>
                <w:spacing w:val="0"/>
                <w:sz w:val="20"/>
                <w:szCs w:val="20"/>
                <w:lang w:val="en-GB"/>
              </w:rPr>
            </w:pPr>
            <w:r w:rsidRPr="003C5945">
              <w:rPr>
                <w:rFonts w:ascii="Calibri" w:hAnsi="Calibri" w:cs="Times New Roman"/>
                <w:color w:val="000000"/>
                <w:spacing w:val="0"/>
                <w:sz w:val="20"/>
                <w:szCs w:val="20"/>
                <w:lang w:val="en-GB"/>
              </w:rPr>
              <w:t>The low level of youth and adult language and numeracy skills is addressed to enable additional training</w:t>
            </w:r>
          </w:p>
        </w:tc>
        <w:tc>
          <w:tcPr>
            <w:tcW w:w="2268" w:type="dxa"/>
            <w:tcBorders>
              <w:top w:val="nil"/>
              <w:left w:val="nil"/>
              <w:bottom w:val="single" w:sz="8" w:space="0" w:color="auto"/>
              <w:right w:val="single" w:sz="8" w:space="0" w:color="auto"/>
            </w:tcBorders>
            <w:shd w:val="clear" w:color="auto" w:fill="auto"/>
            <w:vAlign w:val="center"/>
            <w:hideMark/>
          </w:tcPr>
          <w:p w14:paraId="0AAC0CA6" w14:textId="77777777" w:rsidR="003C5945" w:rsidRPr="003C5945" w:rsidRDefault="003C5945" w:rsidP="00086BEB">
            <w:pPr>
              <w:spacing w:before="0" w:after="0" w:line="240" w:lineRule="auto"/>
              <w:jc w:val="left"/>
              <w:rPr>
                <w:rFonts w:ascii="Calibri" w:hAnsi="Calibri" w:cs="Times New Roman"/>
                <w:color w:val="000000"/>
                <w:spacing w:val="0"/>
                <w:sz w:val="20"/>
                <w:szCs w:val="20"/>
                <w:lang w:val="en-GB"/>
              </w:rPr>
            </w:pPr>
            <w:r w:rsidRPr="003C5945">
              <w:rPr>
                <w:rFonts w:ascii="Calibri (Body)" w:hAnsi="Calibri (Body)" w:cs="Times New Roman"/>
                <w:color w:val="auto"/>
                <w:spacing w:val="0"/>
                <w:sz w:val="20"/>
                <w:szCs w:val="20"/>
                <w:lang w:val="en-GB"/>
              </w:rPr>
              <w:t xml:space="preserve">Improved </w:t>
            </w:r>
            <w:r w:rsidRPr="003C5945">
              <w:rPr>
                <w:rFonts w:ascii="Calibri" w:hAnsi="Calibri" w:cs="Times New Roman"/>
                <w:color w:val="auto"/>
                <w:spacing w:val="0"/>
                <w:sz w:val="20"/>
                <w:szCs w:val="20"/>
                <w:lang w:val="en-GB"/>
              </w:rPr>
              <w:t>absorption levels of young unemployed people into work</w:t>
            </w:r>
          </w:p>
        </w:tc>
      </w:tr>
      <w:tr w:rsidR="003C5945" w:rsidRPr="00FF7160" w14:paraId="0FA3AC10" w14:textId="77777777" w:rsidTr="007B4A3D">
        <w:trPr>
          <w:trHeight w:val="83"/>
        </w:trPr>
        <w:tc>
          <w:tcPr>
            <w:tcW w:w="2259" w:type="dxa"/>
            <w:tcBorders>
              <w:top w:val="nil"/>
              <w:left w:val="single" w:sz="8" w:space="0" w:color="auto"/>
              <w:bottom w:val="single" w:sz="8" w:space="0" w:color="auto"/>
              <w:right w:val="single" w:sz="8" w:space="0" w:color="auto"/>
            </w:tcBorders>
            <w:shd w:val="clear" w:color="000000" w:fill="BFBFBF"/>
            <w:noWrap/>
            <w:vAlign w:val="center"/>
            <w:hideMark/>
          </w:tcPr>
          <w:p w14:paraId="66E20E53" w14:textId="77777777" w:rsidR="003C5945" w:rsidRPr="003C5945" w:rsidRDefault="003C5945" w:rsidP="00086BEB">
            <w:pPr>
              <w:spacing w:before="0" w:after="0" w:line="240" w:lineRule="auto"/>
              <w:jc w:val="left"/>
              <w:rPr>
                <w:rFonts w:ascii="Calibri" w:hAnsi="Calibri" w:cs="Times New Roman"/>
                <w:color w:val="000000"/>
                <w:spacing w:val="0"/>
                <w:sz w:val="20"/>
                <w:szCs w:val="20"/>
                <w:lang w:val="en-GB"/>
              </w:rPr>
            </w:pPr>
            <w:r w:rsidRPr="003C5945">
              <w:rPr>
                <w:rFonts w:ascii="Calibri" w:hAnsi="Calibri" w:cs="Times New Roman"/>
                <w:color w:val="000000"/>
                <w:spacing w:val="0"/>
                <w:sz w:val="20"/>
                <w:szCs w:val="20"/>
                <w:lang w:val="en-GB"/>
              </w:rPr>
              <w:t> </w:t>
            </w:r>
          </w:p>
        </w:tc>
        <w:tc>
          <w:tcPr>
            <w:tcW w:w="2267" w:type="dxa"/>
            <w:tcBorders>
              <w:top w:val="nil"/>
              <w:left w:val="nil"/>
              <w:bottom w:val="single" w:sz="8" w:space="0" w:color="auto"/>
              <w:right w:val="single" w:sz="8" w:space="0" w:color="auto"/>
            </w:tcBorders>
            <w:shd w:val="clear" w:color="000000" w:fill="BFBFBF"/>
            <w:vAlign w:val="center"/>
            <w:hideMark/>
          </w:tcPr>
          <w:p w14:paraId="094C743A" w14:textId="77777777" w:rsidR="003C5945" w:rsidRPr="003C5945" w:rsidRDefault="003C5945" w:rsidP="00086BEB">
            <w:pPr>
              <w:spacing w:before="0" w:after="0" w:line="240" w:lineRule="auto"/>
              <w:jc w:val="left"/>
              <w:rPr>
                <w:rFonts w:ascii="Calibri" w:hAnsi="Calibri" w:cs="Times New Roman"/>
                <w:color w:val="000000"/>
                <w:spacing w:val="0"/>
                <w:sz w:val="20"/>
                <w:szCs w:val="20"/>
                <w:lang w:val="en-GB"/>
              </w:rPr>
            </w:pPr>
            <w:r w:rsidRPr="003C5945">
              <w:rPr>
                <w:rFonts w:ascii="Calibri" w:hAnsi="Calibri" w:cs="Times New Roman"/>
                <w:color w:val="000000"/>
                <w:spacing w:val="0"/>
                <w:sz w:val="20"/>
                <w:szCs w:val="20"/>
                <w:lang w:val="en-GB"/>
              </w:rPr>
              <w:t> </w:t>
            </w:r>
          </w:p>
        </w:tc>
        <w:tc>
          <w:tcPr>
            <w:tcW w:w="2268" w:type="dxa"/>
            <w:tcBorders>
              <w:top w:val="nil"/>
              <w:left w:val="nil"/>
              <w:bottom w:val="single" w:sz="8" w:space="0" w:color="auto"/>
              <w:right w:val="single" w:sz="8" w:space="0" w:color="auto"/>
            </w:tcBorders>
            <w:shd w:val="clear" w:color="000000" w:fill="BFBFBF"/>
            <w:vAlign w:val="center"/>
            <w:hideMark/>
          </w:tcPr>
          <w:p w14:paraId="68701FC8" w14:textId="77777777" w:rsidR="003C5945" w:rsidRPr="003C5945" w:rsidRDefault="003C5945" w:rsidP="00086BEB">
            <w:pPr>
              <w:spacing w:before="0" w:after="0" w:line="240" w:lineRule="auto"/>
              <w:jc w:val="left"/>
              <w:rPr>
                <w:rFonts w:ascii="Calibri" w:hAnsi="Calibri" w:cs="Times New Roman"/>
                <w:color w:val="000000"/>
                <w:spacing w:val="0"/>
                <w:sz w:val="20"/>
                <w:szCs w:val="20"/>
                <w:lang w:val="en-GB"/>
              </w:rPr>
            </w:pPr>
            <w:r w:rsidRPr="003C5945">
              <w:rPr>
                <w:rFonts w:ascii="Calibri" w:hAnsi="Calibri" w:cs="Times New Roman"/>
                <w:color w:val="000000"/>
                <w:spacing w:val="0"/>
                <w:sz w:val="20"/>
                <w:szCs w:val="20"/>
                <w:lang w:val="en-GB"/>
              </w:rPr>
              <w:t> </w:t>
            </w:r>
          </w:p>
        </w:tc>
        <w:tc>
          <w:tcPr>
            <w:tcW w:w="2268" w:type="dxa"/>
            <w:tcBorders>
              <w:top w:val="nil"/>
              <w:left w:val="nil"/>
              <w:bottom w:val="single" w:sz="8" w:space="0" w:color="auto"/>
              <w:right w:val="single" w:sz="8" w:space="0" w:color="auto"/>
            </w:tcBorders>
            <w:shd w:val="clear" w:color="000000" w:fill="BFBFBF"/>
            <w:vAlign w:val="center"/>
            <w:hideMark/>
          </w:tcPr>
          <w:p w14:paraId="3EB104B2" w14:textId="77777777" w:rsidR="003C5945" w:rsidRPr="003C5945" w:rsidRDefault="003C5945" w:rsidP="00086BEB">
            <w:pPr>
              <w:spacing w:before="0" w:after="0" w:line="240" w:lineRule="auto"/>
              <w:jc w:val="left"/>
              <w:rPr>
                <w:rFonts w:ascii="Calibri" w:hAnsi="Calibri" w:cs="Times New Roman"/>
                <w:color w:val="000000"/>
                <w:spacing w:val="0"/>
                <w:sz w:val="20"/>
                <w:szCs w:val="20"/>
                <w:lang w:val="en-GB"/>
              </w:rPr>
            </w:pPr>
            <w:r w:rsidRPr="003C5945">
              <w:rPr>
                <w:rFonts w:ascii="Calibri" w:hAnsi="Calibri" w:cs="Times New Roman"/>
                <w:color w:val="000000"/>
                <w:spacing w:val="0"/>
                <w:sz w:val="20"/>
                <w:szCs w:val="20"/>
                <w:lang w:val="en-GB"/>
              </w:rPr>
              <w:t> </w:t>
            </w:r>
          </w:p>
        </w:tc>
        <w:tc>
          <w:tcPr>
            <w:tcW w:w="2268" w:type="dxa"/>
            <w:tcBorders>
              <w:top w:val="nil"/>
              <w:left w:val="nil"/>
              <w:bottom w:val="single" w:sz="8" w:space="0" w:color="auto"/>
              <w:right w:val="single" w:sz="8" w:space="0" w:color="auto"/>
            </w:tcBorders>
            <w:shd w:val="clear" w:color="000000" w:fill="BFBFBF"/>
            <w:vAlign w:val="center"/>
            <w:hideMark/>
          </w:tcPr>
          <w:p w14:paraId="391F71C1" w14:textId="77777777" w:rsidR="003C5945" w:rsidRPr="003C5945" w:rsidRDefault="003C5945" w:rsidP="00086BEB">
            <w:pPr>
              <w:spacing w:before="0" w:after="0" w:line="240" w:lineRule="auto"/>
              <w:jc w:val="left"/>
              <w:rPr>
                <w:rFonts w:ascii="Calibri" w:hAnsi="Calibri" w:cs="Times New Roman"/>
                <w:color w:val="000000"/>
                <w:spacing w:val="0"/>
                <w:sz w:val="20"/>
                <w:szCs w:val="20"/>
                <w:lang w:val="en-GB"/>
              </w:rPr>
            </w:pPr>
            <w:r w:rsidRPr="003C5945">
              <w:rPr>
                <w:rFonts w:ascii="Calibri" w:hAnsi="Calibri" w:cs="Times New Roman"/>
                <w:color w:val="000000"/>
                <w:spacing w:val="0"/>
                <w:sz w:val="20"/>
                <w:szCs w:val="20"/>
                <w:lang w:val="en-GB"/>
              </w:rPr>
              <w:t> </w:t>
            </w:r>
          </w:p>
        </w:tc>
        <w:tc>
          <w:tcPr>
            <w:tcW w:w="2268" w:type="dxa"/>
            <w:tcBorders>
              <w:top w:val="nil"/>
              <w:left w:val="nil"/>
              <w:bottom w:val="single" w:sz="8" w:space="0" w:color="auto"/>
              <w:right w:val="single" w:sz="8" w:space="0" w:color="auto"/>
            </w:tcBorders>
            <w:shd w:val="clear" w:color="000000" w:fill="BFBFBF"/>
            <w:vAlign w:val="center"/>
            <w:hideMark/>
          </w:tcPr>
          <w:p w14:paraId="0B59D095" w14:textId="77777777" w:rsidR="003C5945" w:rsidRPr="003C5945" w:rsidRDefault="003C5945" w:rsidP="00086BEB">
            <w:pPr>
              <w:spacing w:before="0" w:after="0" w:line="240" w:lineRule="auto"/>
              <w:jc w:val="left"/>
              <w:rPr>
                <w:rFonts w:ascii="Calibri" w:hAnsi="Calibri" w:cs="Times New Roman"/>
                <w:color w:val="000000"/>
                <w:spacing w:val="0"/>
                <w:sz w:val="20"/>
                <w:szCs w:val="20"/>
                <w:lang w:val="en-GB"/>
              </w:rPr>
            </w:pPr>
            <w:r w:rsidRPr="003C5945">
              <w:rPr>
                <w:rFonts w:ascii="Calibri" w:hAnsi="Calibri" w:cs="Times New Roman"/>
                <w:color w:val="000000"/>
                <w:spacing w:val="0"/>
                <w:sz w:val="20"/>
                <w:szCs w:val="20"/>
                <w:lang w:val="en-GB"/>
              </w:rPr>
              <w:t> </w:t>
            </w:r>
          </w:p>
        </w:tc>
      </w:tr>
      <w:tr w:rsidR="003C5945" w:rsidRPr="00FF7160" w14:paraId="60F48584" w14:textId="77777777" w:rsidTr="007B4A3D">
        <w:trPr>
          <w:trHeight w:val="1674"/>
        </w:trPr>
        <w:tc>
          <w:tcPr>
            <w:tcW w:w="2259" w:type="dxa"/>
            <w:vMerge w:val="restart"/>
            <w:tcBorders>
              <w:top w:val="nil"/>
              <w:left w:val="single" w:sz="8" w:space="0" w:color="auto"/>
              <w:bottom w:val="single" w:sz="8" w:space="0" w:color="auto"/>
              <w:right w:val="single" w:sz="8" w:space="0" w:color="auto"/>
            </w:tcBorders>
            <w:shd w:val="clear" w:color="auto" w:fill="auto"/>
            <w:vAlign w:val="center"/>
            <w:hideMark/>
          </w:tcPr>
          <w:p w14:paraId="150CA3AD" w14:textId="77777777" w:rsidR="003C5945" w:rsidRPr="003C5945" w:rsidRDefault="003C5945" w:rsidP="00086BEB">
            <w:pPr>
              <w:spacing w:before="0" w:after="0" w:line="240" w:lineRule="auto"/>
              <w:jc w:val="left"/>
              <w:rPr>
                <w:rFonts w:ascii="Calibri" w:hAnsi="Calibri" w:cs="Times New Roman"/>
                <w:color w:val="000000"/>
                <w:spacing w:val="0"/>
                <w:sz w:val="20"/>
                <w:szCs w:val="20"/>
                <w:lang w:val="en-GB"/>
              </w:rPr>
            </w:pPr>
            <w:r w:rsidRPr="003C5945">
              <w:rPr>
                <w:rFonts w:ascii="Calibri" w:hAnsi="Calibri" w:cs="Times New Roman"/>
                <w:color w:val="000000"/>
                <w:spacing w:val="0"/>
                <w:sz w:val="20"/>
                <w:szCs w:val="20"/>
                <w:lang w:val="en-GB"/>
              </w:rPr>
              <w:t>Meeting the skills needs of small businesses, micro enterprises, cooperatives, NGOs and community based organisations</w:t>
            </w:r>
          </w:p>
        </w:tc>
        <w:tc>
          <w:tcPr>
            <w:tcW w:w="2267" w:type="dxa"/>
            <w:tcBorders>
              <w:top w:val="nil"/>
              <w:left w:val="nil"/>
              <w:bottom w:val="single" w:sz="8" w:space="0" w:color="auto"/>
              <w:right w:val="single" w:sz="8" w:space="0" w:color="auto"/>
            </w:tcBorders>
            <w:shd w:val="clear" w:color="auto" w:fill="auto"/>
            <w:vAlign w:val="center"/>
            <w:hideMark/>
          </w:tcPr>
          <w:p w14:paraId="20EFF0BA" w14:textId="77777777" w:rsidR="003C5945" w:rsidRPr="003C5945" w:rsidRDefault="003C5945" w:rsidP="00086BEB">
            <w:pPr>
              <w:spacing w:before="0" w:after="0" w:line="240" w:lineRule="auto"/>
              <w:jc w:val="left"/>
              <w:rPr>
                <w:rFonts w:ascii="Calibri" w:hAnsi="Calibri" w:cs="Times New Roman"/>
                <w:color w:val="000000"/>
                <w:spacing w:val="0"/>
                <w:sz w:val="20"/>
                <w:szCs w:val="20"/>
                <w:lang w:val="en-GB"/>
              </w:rPr>
            </w:pPr>
            <w:r w:rsidRPr="003C5945">
              <w:rPr>
                <w:rFonts w:ascii="Calibri" w:hAnsi="Calibri" w:cs="Times New Roman"/>
                <w:color w:val="000000"/>
                <w:spacing w:val="0"/>
                <w:sz w:val="20"/>
                <w:szCs w:val="20"/>
                <w:lang w:val="en-GB"/>
              </w:rPr>
              <w:t>SETAs identify in their skills planning research, established and emergent cooperatives and their skills needs.</w:t>
            </w:r>
          </w:p>
        </w:tc>
        <w:tc>
          <w:tcPr>
            <w:tcW w:w="2268" w:type="dxa"/>
            <w:tcBorders>
              <w:top w:val="nil"/>
              <w:left w:val="nil"/>
              <w:bottom w:val="single" w:sz="8" w:space="0" w:color="auto"/>
              <w:right w:val="single" w:sz="8" w:space="0" w:color="auto"/>
            </w:tcBorders>
            <w:shd w:val="clear" w:color="auto" w:fill="auto"/>
            <w:vAlign w:val="center"/>
            <w:hideMark/>
          </w:tcPr>
          <w:p w14:paraId="11481CFB" w14:textId="77777777" w:rsidR="003C5945" w:rsidRPr="003C5945" w:rsidRDefault="003C5945" w:rsidP="00086BEB">
            <w:pPr>
              <w:spacing w:before="0" w:after="0" w:line="240" w:lineRule="auto"/>
              <w:jc w:val="left"/>
              <w:rPr>
                <w:rFonts w:ascii="Calibri" w:hAnsi="Calibri" w:cs="Times New Roman"/>
                <w:color w:val="000000"/>
                <w:spacing w:val="0"/>
                <w:sz w:val="20"/>
                <w:szCs w:val="20"/>
                <w:lang w:val="en-GB"/>
              </w:rPr>
            </w:pPr>
            <w:r w:rsidRPr="003C5945">
              <w:rPr>
                <w:rFonts w:ascii="Calibri" w:hAnsi="Calibri" w:cs="Times New Roman"/>
                <w:color w:val="000000"/>
                <w:spacing w:val="0"/>
                <w:sz w:val="20"/>
                <w:szCs w:val="20"/>
                <w:lang w:val="en-GB"/>
              </w:rPr>
              <w:t>A national database of cooperatives supported with skills development is established and the impact of training reported on.</w:t>
            </w:r>
          </w:p>
        </w:tc>
        <w:tc>
          <w:tcPr>
            <w:tcW w:w="2268" w:type="dxa"/>
            <w:tcBorders>
              <w:top w:val="nil"/>
              <w:left w:val="nil"/>
              <w:bottom w:val="single" w:sz="8" w:space="0" w:color="auto"/>
              <w:right w:val="single" w:sz="8" w:space="0" w:color="auto"/>
            </w:tcBorders>
            <w:shd w:val="clear" w:color="auto" w:fill="auto"/>
            <w:vAlign w:val="center"/>
            <w:hideMark/>
          </w:tcPr>
          <w:p w14:paraId="26A2B08D" w14:textId="77777777" w:rsidR="003C5945" w:rsidRPr="003C5945" w:rsidRDefault="003C5945" w:rsidP="00086BEB">
            <w:pPr>
              <w:spacing w:before="0" w:after="0" w:line="240" w:lineRule="auto"/>
              <w:jc w:val="left"/>
              <w:rPr>
                <w:rFonts w:ascii="Calibri" w:hAnsi="Calibri" w:cs="Times New Roman"/>
                <w:color w:val="000000"/>
                <w:spacing w:val="0"/>
                <w:sz w:val="20"/>
                <w:szCs w:val="20"/>
                <w:lang w:val="en-GB"/>
              </w:rPr>
            </w:pPr>
            <w:r w:rsidRPr="003C5945">
              <w:rPr>
                <w:rFonts w:ascii="Calibri" w:hAnsi="Calibri" w:cs="Times New Roman"/>
                <w:color w:val="000000"/>
                <w:spacing w:val="0"/>
                <w:sz w:val="20"/>
                <w:szCs w:val="20"/>
                <w:lang w:val="en-GB"/>
              </w:rPr>
              <w:t>Sector projects are established by sector stakeholders, supported by the NSF.</w:t>
            </w:r>
          </w:p>
        </w:tc>
        <w:tc>
          <w:tcPr>
            <w:tcW w:w="2268" w:type="dxa"/>
            <w:tcBorders>
              <w:top w:val="nil"/>
              <w:left w:val="nil"/>
              <w:bottom w:val="single" w:sz="8" w:space="0" w:color="auto"/>
              <w:right w:val="single" w:sz="8" w:space="0" w:color="auto"/>
            </w:tcBorders>
            <w:shd w:val="clear" w:color="auto" w:fill="auto"/>
            <w:vAlign w:val="center"/>
            <w:hideMark/>
          </w:tcPr>
          <w:p w14:paraId="40CBF3B6" w14:textId="77777777" w:rsidR="003C5945" w:rsidRPr="003C5945" w:rsidRDefault="003C5945" w:rsidP="00086BEB">
            <w:pPr>
              <w:spacing w:before="0" w:after="0" w:line="240" w:lineRule="auto"/>
              <w:jc w:val="left"/>
              <w:rPr>
                <w:rFonts w:ascii="Calibri" w:hAnsi="Calibri" w:cs="Times New Roman"/>
                <w:color w:val="000000"/>
                <w:spacing w:val="0"/>
                <w:sz w:val="20"/>
                <w:szCs w:val="20"/>
                <w:lang w:val="en-GB"/>
              </w:rPr>
            </w:pPr>
            <w:r w:rsidRPr="003C5945">
              <w:rPr>
                <w:rFonts w:ascii="Calibri" w:hAnsi="Calibri" w:cs="Times New Roman"/>
                <w:color w:val="000000"/>
                <w:spacing w:val="0"/>
                <w:sz w:val="20"/>
                <w:szCs w:val="20"/>
                <w:lang w:val="en-GB"/>
              </w:rPr>
              <w:t>Cooperatives supported with skills training and development expand and contribute to sector economic and employment growth</w:t>
            </w:r>
          </w:p>
        </w:tc>
        <w:tc>
          <w:tcPr>
            <w:tcW w:w="2268" w:type="dxa"/>
            <w:tcBorders>
              <w:top w:val="nil"/>
              <w:left w:val="nil"/>
              <w:bottom w:val="single" w:sz="8" w:space="0" w:color="auto"/>
              <w:right w:val="single" w:sz="8" w:space="0" w:color="auto"/>
            </w:tcBorders>
            <w:shd w:val="clear" w:color="auto" w:fill="auto"/>
            <w:vAlign w:val="center"/>
            <w:hideMark/>
          </w:tcPr>
          <w:p w14:paraId="2E6E8517" w14:textId="77777777" w:rsidR="003C5945" w:rsidRPr="003C5945" w:rsidRDefault="003C5945" w:rsidP="00086BEB">
            <w:pPr>
              <w:spacing w:before="0" w:after="0" w:line="240" w:lineRule="auto"/>
              <w:jc w:val="left"/>
              <w:rPr>
                <w:rFonts w:ascii="Calibri" w:hAnsi="Calibri" w:cs="Times New Roman"/>
                <w:color w:val="000000"/>
                <w:spacing w:val="0"/>
                <w:sz w:val="20"/>
                <w:szCs w:val="20"/>
                <w:lang w:val="en-GB"/>
              </w:rPr>
            </w:pPr>
            <w:r w:rsidRPr="003C5945">
              <w:rPr>
                <w:rFonts w:ascii="Calibri" w:hAnsi="Calibri" w:cs="Times New Roman"/>
                <w:color w:val="000000"/>
                <w:spacing w:val="0"/>
                <w:sz w:val="20"/>
                <w:szCs w:val="20"/>
                <w:lang w:val="en-GB"/>
              </w:rPr>
              <w:t>Encouraging and supporting cooperatives, small enterprises, worker initiated, NGO and community training initiatives</w:t>
            </w:r>
          </w:p>
        </w:tc>
      </w:tr>
      <w:tr w:rsidR="003C5945" w:rsidRPr="00FF7160" w14:paraId="12AB6EB5" w14:textId="77777777" w:rsidTr="007B4A3D">
        <w:trPr>
          <w:trHeight w:val="2260"/>
        </w:trPr>
        <w:tc>
          <w:tcPr>
            <w:tcW w:w="2259" w:type="dxa"/>
            <w:vMerge/>
            <w:tcBorders>
              <w:top w:val="nil"/>
              <w:left w:val="single" w:sz="8" w:space="0" w:color="auto"/>
              <w:bottom w:val="single" w:sz="8" w:space="0" w:color="auto"/>
              <w:right w:val="single" w:sz="8" w:space="0" w:color="auto"/>
            </w:tcBorders>
            <w:vAlign w:val="center"/>
            <w:hideMark/>
          </w:tcPr>
          <w:p w14:paraId="1FB301B5" w14:textId="77777777" w:rsidR="003C5945" w:rsidRPr="003C5945" w:rsidRDefault="003C5945" w:rsidP="00086BEB">
            <w:pPr>
              <w:spacing w:before="0" w:after="0" w:line="240" w:lineRule="auto"/>
              <w:jc w:val="left"/>
              <w:rPr>
                <w:rFonts w:ascii="Calibri" w:hAnsi="Calibri" w:cs="Times New Roman"/>
                <w:color w:val="000000"/>
                <w:spacing w:val="0"/>
                <w:sz w:val="20"/>
                <w:szCs w:val="20"/>
                <w:lang w:val="en-GB"/>
              </w:rPr>
            </w:pPr>
          </w:p>
        </w:tc>
        <w:tc>
          <w:tcPr>
            <w:tcW w:w="2267" w:type="dxa"/>
            <w:tcBorders>
              <w:top w:val="nil"/>
              <w:left w:val="nil"/>
              <w:bottom w:val="single" w:sz="8" w:space="0" w:color="auto"/>
              <w:right w:val="single" w:sz="8" w:space="0" w:color="auto"/>
            </w:tcBorders>
            <w:shd w:val="clear" w:color="auto" w:fill="auto"/>
            <w:vAlign w:val="center"/>
            <w:hideMark/>
          </w:tcPr>
          <w:p w14:paraId="31552DAF" w14:textId="77777777" w:rsidR="003C5945" w:rsidRPr="003C5945" w:rsidRDefault="003C5945" w:rsidP="00086BEB">
            <w:pPr>
              <w:spacing w:before="0" w:after="0" w:line="240" w:lineRule="auto"/>
              <w:jc w:val="left"/>
              <w:rPr>
                <w:rFonts w:ascii="Calibri" w:hAnsi="Calibri" w:cs="Times New Roman"/>
                <w:color w:val="000000"/>
                <w:spacing w:val="0"/>
                <w:sz w:val="20"/>
                <w:szCs w:val="20"/>
                <w:lang w:val="en-GB"/>
              </w:rPr>
            </w:pPr>
            <w:r w:rsidRPr="003C5945">
              <w:rPr>
                <w:rFonts w:ascii="Calibri" w:hAnsi="Calibri" w:cs="Times New Roman"/>
                <w:color w:val="000000"/>
                <w:spacing w:val="0"/>
                <w:sz w:val="20"/>
                <w:szCs w:val="20"/>
                <w:lang w:val="en-GB"/>
              </w:rPr>
              <w:t>SETAs, through their skills planning research, identify the skills needs of small and emerging businesses in their sector, and promote relevant programmes.</w:t>
            </w:r>
          </w:p>
        </w:tc>
        <w:tc>
          <w:tcPr>
            <w:tcW w:w="2268" w:type="dxa"/>
            <w:tcBorders>
              <w:top w:val="nil"/>
              <w:left w:val="nil"/>
              <w:bottom w:val="single" w:sz="8" w:space="0" w:color="auto"/>
              <w:right w:val="single" w:sz="8" w:space="0" w:color="auto"/>
            </w:tcBorders>
            <w:shd w:val="clear" w:color="auto" w:fill="auto"/>
            <w:vAlign w:val="center"/>
            <w:hideMark/>
          </w:tcPr>
          <w:p w14:paraId="73FDE9EA" w14:textId="77777777" w:rsidR="003C5945" w:rsidRPr="003C5945" w:rsidRDefault="003C5945" w:rsidP="00086BEB">
            <w:pPr>
              <w:spacing w:before="0" w:after="0" w:line="240" w:lineRule="auto"/>
              <w:jc w:val="left"/>
              <w:rPr>
                <w:rFonts w:ascii="Calibri" w:hAnsi="Calibri" w:cs="Times New Roman"/>
                <w:color w:val="000000"/>
                <w:spacing w:val="0"/>
                <w:sz w:val="20"/>
                <w:szCs w:val="20"/>
                <w:lang w:val="en-GB"/>
              </w:rPr>
            </w:pPr>
            <w:r w:rsidRPr="003C5945">
              <w:rPr>
                <w:rFonts w:ascii="Calibri" w:hAnsi="Calibri" w:cs="Times New Roman"/>
                <w:color w:val="000000"/>
                <w:spacing w:val="0"/>
                <w:sz w:val="20"/>
                <w:szCs w:val="20"/>
                <w:lang w:val="en-GB"/>
              </w:rPr>
              <w:t>Cross-sectoral projects are established to address skills needs along local supply chains aimed at supporting local economic development</w:t>
            </w:r>
          </w:p>
        </w:tc>
        <w:tc>
          <w:tcPr>
            <w:tcW w:w="2268" w:type="dxa"/>
            <w:tcBorders>
              <w:top w:val="nil"/>
              <w:left w:val="nil"/>
              <w:bottom w:val="single" w:sz="8" w:space="0" w:color="auto"/>
              <w:right w:val="single" w:sz="8" w:space="0" w:color="auto"/>
            </w:tcBorders>
            <w:shd w:val="clear" w:color="auto" w:fill="auto"/>
            <w:vAlign w:val="center"/>
            <w:hideMark/>
          </w:tcPr>
          <w:p w14:paraId="78CBD177" w14:textId="77777777" w:rsidR="003C5945" w:rsidRPr="003C5945" w:rsidRDefault="003C5945" w:rsidP="00086BEB">
            <w:pPr>
              <w:spacing w:before="0" w:after="0" w:line="240" w:lineRule="auto"/>
              <w:jc w:val="left"/>
              <w:rPr>
                <w:rFonts w:ascii="Calibri" w:hAnsi="Calibri" w:cs="Times New Roman"/>
                <w:color w:val="000000"/>
                <w:spacing w:val="0"/>
                <w:sz w:val="20"/>
                <w:szCs w:val="20"/>
                <w:lang w:val="en-GB"/>
              </w:rPr>
            </w:pPr>
            <w:r w:rsidRPr="003C5945">
              <w:rPr>
                <w:rFonts w:ascii="Calibri" w:hAnsi="Calibri" w:cs="Times New Roman"/>
                <w:color w:val="000000"/>
                <w:spacing w:val="0"/>
                <w:sz w:val="20"/>
                <w:szCs w:val="20"/>
                <w:lang w:val="en-GB"/>
              </w:rPr>
              <w:t>National database of small businesses supported with skills development is established and the impact of training reported on.</w:t>
            </w:r>
          </w:p>
        </w:tc>
        <w:tc>
          <w:tcPr>
            <w:tcW w:w="2268" w:type="dxa"/>
            <w:tcBorders>
              <w:top w:val="nil"/>
              <w:left w:val="nil"/>
              <w:bottom w:val="single" w:sz="8" w:space="0" w:color="auto"/>
              <w:right w:val="single" w:sz="8" w:space="0" w:color="auto"/>
            </w:tcBorders>
            <w:shd w:val="clear" w:color="auto" w:fill="auto"/>
            <w:vAlign w:val="center"/>
            <w:hideMark/>
          </w:tcPr>
          <w:p w14:paraId="4AC9DC7B" w14:textId="77777777" w:rsidR="003C5945" w:rsidRPr="003C5945" w:rsidRDefault="003C5945" w:rsidP="00086BEB">
            <w:pPr>
              <w:spacing w:before="0" w:after="0" w:line="240" w:lineRule="auto"/>
              <w:jc w:val="left"/>
              <w:rPr>
                <w:rFonts w:ascii="Calibri" w:hAnsi="Calibri" w:cs="Times New Roman"/>
                <w:color w:val="000000"/>
                <w:spacing w:val="0"/>
                <w:sz w:val="20"/>
                <w:szCs w:val="20"/>
                <w:lang w:val="en-GB"/>
              </w:rPr>
            </w:pPr>
            <w:r w:rsidRPr="003C5945">
              <w:rPr>
                <w:rFonts w:ascii="Calibri" w:hAnsi="Calibri" w:cs="Times New Roman"/>
                <w:color w:val="000000"/>
                <w:spacing w:val="0"/>
                <w:sz w:val="20"/>
                <w:szCs w:val="20"/>
                <w:lang w:val="en-GB"/>
              </w:rPr>
              <w:t>Partnership projects to provide training and development support to small businesses are established in all sectors and their impact reported on</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14:paraId="0150C53D" w14:textId="77777777" w:rsidR="003C5945" w:rsidRPr="003C5945" w:rsidRDefault="003C5945" w:rsidP="00086BEB">
            <w:pPr>
              <w:spacing w:before="0" w:after="0" w:line="240" w:lineRule="auto"/>
              <w:jc w:val="left"/>
              <w:rPr>
                <w:rFonts w:ascii="Calibri" w:hAnsi="Calibri" w:cs="Times New Roman"/>
                <w:color w:val="000000"/>
                <w:spacing w:val="0"/>
                <w:sz w:val="20"/>
                <w:szCs w:val="20"/>
                <w:lang w:val="en-GB"/>
              </w:rPr>
            </w:pPr>
            <w:r w:rsidRPr="003C5945">
              <w:rPr>
                <w:rFonts w:ascii="Calibri" w:hAnsi="Calibri" w:cs="Times New Roman"/>
                <w:color w:val="000000"/>
                <w:spacing w:val="0"/>
                <w:sz w:val="20"/>
                <w:szCs w:val="20"/>
                <w:lang w:val="en-GB"/>
              </w:rPr>
              <w:t>Increased capacity of small and micro enterprises?</w:t>
            </w:r>
          </w:p>
        </w:tc>
      </w:tr>
      <w:tr w:rsidR="003C5945" w:rsidRPr="00FF7160" w14:paraId="04A9560F" w14:textId="77777777" w:rsidTr="007B4A3D">
        <w:trPr>
          <w:trHeight w:val="2260"/>
        </w:trPr>
        <w:tc>
          <w:tcPr>
            <w:tcW w:w="2259" w:type="dxa"/>
            <w:vMerge/>
            <w:tcBorders>
              <w:top w:val="nil"/>
              <w:left w:val="single" w:sz="8" w:space="0" w:color="auto"/>
              <w:bottom w:val="single" w:sz="8" w:space="0" w:color="auto"/>
              <w:right w:val="single" w:sz="8" w:space="0" w:color="auto"/>
            </w:tcBorders>
            <w:vAlign w:val="center"/>
            <w:hideMark/>
          </w:tcPr>
          <w:p w14:paraId="55C2DC69" w14:textId="77777777" w:rsidR="003C5945" w:rsidRPr="003C5945" w:rsidRDefault="003C5945" w:rsidP="00086BEB">
            <w:pPr>
              <w:spacing w:before="0" w:after="0" w:line="240" w:lineRule="auto"/>
              <w:jc w:val="left"/>
              <w:rPr>
                <w:rFonts w:ascii="Calibri" w:hAnsi="Calibri" w:cs="Times New Roman"/>
                <w:color w:val="000000"/>
                <w:spacing w:val="0"/>
                <w:sz w:val="20"/>
                <w:szCs w:val="20"/>
                <w:lang w:val="en-GB"/>
              </w:rPr>
            </w:pPr>
          </w:p>
        </w:tc>
        <w:tc>
          <w:tcPr>
            <w:tcW w:w="2267" w:type="dxa"/>
            <w:tcBorders>
              <w:top w:val="nil"/>
              <w:left w:val="nil"/>
              <w:bottom w:val="single" w:sz="8" w:space="0" w:color="auto"/>
              <w:right w:val="single" w:sz="8" w:space="0" w:color="auto"/>
            </w:tcBorders>
            <w:shd w:val="clear" w:color="auto" w:fill="auto"/>
            <w:vAlign w:val="center"/>
            <w:hideMark/>
          </w:tcPr>
          <w:p w14:paraId="2F8E9880" w14:textId="77777777" w:rsidR="003C5945" w:rsidRPr="003C5945" w:rsidRDefault="003C5945" w:rsidP="00086BEB">
            <w:pPr>
              <w:spacing w:before="0" w:after="0" w:line="240" w:lineRule="auto"/>
              <w:jc w:val="left"/>
              <w:rPr>
                <w:rFonts w:ascii="Calibri" w:hAnsi="Calibri" w:cs="Times New Roman"/>
                <w:color w:val="000000"/>
                <w:spacing w:val="0"/>
                <w:sz w:val="20"/>
                <w:szCs w:val="20"/>
                <w:lang w:val="en-GB"/>
              </w:rPr>
            </w:pPr>
            <w:r w:rsidRPr="003C5945">
              <w:rPr>
                <w:rFonts w:ascii="Calibri" w:hAnsi="Calibri" w:cs="Times New Roman"/>
                <w:color w:val="000000"/>
                <w:spacing w:val="0"/>
                <w:sz w:val="20"/>
                <w:szCs w:val="20"/>
                <w:lang w:val="en-GB"/>
              </w:rPr>
              <w:t>SETAs engage with trade unions, NGOs and community-based organisations in their sector and identify skills needs and strategies to address needs.</w:t>
            </w:r>
          </w:p>
        </w:tc>
        <w:tc>
          <w:tcPr>
            <w:tcW w:w="2268" w:type="dxa"/>
            <w:tcBorders>
              <w:top w:val="nil"/>
              <w:left w:val="nil"/>
              <w:bottom w:val="single" w:sz="8" w:space="0" w:color="auto"/>
              <w:right w:val="single" w:sz="8" w:space="0" w:color="auto"/>
            </w:tcBorders>
            <w:shd w:val="clear" w:color="auto" w:fill="auto"/>
            <w:vAlign w:val="center"/>
            <w:hideMark/>
          </w:tcPr>
          <w:p w14:paraId="3B5983F1" w14:textId="77777777" w:rsidR="003C5945" w:rsidRPr="003C5945" w:rsidRDefault="003C5945" w:rsidP="00086BEB">
            <w:pPr>
              <w:spacing w:before="0" w:after="0" w:line="240" w:lineRule="auto"/>
              <w:jc w:val="left"/>
              <w:rPr>
                <w:rFonts w:ascii="Calibri" w:hAnsi="Calibri" w:cs="Times New Roman"/>
                <w:color w:val="000000"/>
                <w:spacing w:val="0"/>
                <w:sz w:val="20"/>
                <w:szCs w:val="20"/>
                <w:lang w:val="en-GB"/>
              </w:rPr>
            </w:pPr>
            <w:r w:rsidRPr="003C5945">
              <w:rPr>
                <w:rFonts w:ascii="Calibri" w:hAnsi="Calibri" w:cs="Times New Roman"/>
                <w:color w:val="000000"/>
                <w:spacing w:val="0"/>
                <w:sz w:val="20"/>
                <w:szCs w:val="20"/>
                <w:lang w:val="en-GB"/>
              </w:rPr>
              <w:t>Sector projects are developed that are piloted by SETAs and expanded through partnership funding.</w:t>
            </w:r>
          </w:p>
        </w:tc>
        <w:tc>
          <w:tcPr>
            <w:tcW w:w="2268" w:type="dxa"/>
            <w:tcBorders>
              <w:top w:val="nil"/>
              <w:left w:val="nil"/>
              <w:bottom w:val="single" w:sz="8" w:space="0" w:color="auto"/>
              <w:right w:val="single" w:sz="8" w:space="0" w:color="auto"/>
            </w:tcBorders>
            <w:shd w:val="clear" w:color="auto" w:fill="auto"/>
            <w:vAlign w:val="center"/>
            <w:hideMark/>
          </w:tcPr>
          <w:p w14:paraId="2D9F77B7" w14:textId="77777777" w:rsidR="003C5945" w:rsidRPr="003C5945" w:rsidRDefault="003C5945" w:rsidP="00086BEB">
            <w:pPr>
              <w:spacing w:before="0" w:after="0" w:line="240" w:lineRule="auto"/>
              <w:jc w:val="left"/>
              <w:rPr>
                <w:rFonts w:ascii="Calibri" w:hAnsi="Calibri" w:cs="Times New Roman"/>
                <w:color w:val="000000"/>
                <w:spacing w:val="0"/>
                <w:sz w:val="20"/>
                <w:szCs w:val="20"/>
                <w:lang w:val="en-GB"/>
              </w:rPr>
            </w:pPr>
            <w:r w:rsidRPr="003C5945">
              <w:rPr>
                <w:rFonts w:ascii="Calibri" w:hAnsi="Calibri" w:cs="Times New Roman"/>
                <w:color w:val="000000"/>
                <w:spacing w:val="0"/>
                <w:sz w:val="20"/>
                <w:szCs w:val="20"/>
                <w:lang w:val="en-GB"/>
              </w:rPr>
              <w:t>Stakeholders expand successful projects with support from the NSF.</w:t>
            </w:r>
          </w:p>
        </w:tc>
        <w:tc>
          <w:tcPr>
            <w:tcW w:w="2268" w:type="dxa"/>
            <w:tcBorders>
              <w:top w:val="nil"/>
              <w:left w:val="nil"/>
              <w:bottom w:val="single" w:sz="8" w:space="0" w:color="auto"/>
              <w:right w:val="single" w:sz="8" w:space="0" w:color="auto"/>
            </w:tcBorders>
            <w:shd w:val="clear" w:color="auto" w:fill="auto"/>
            <w:vAlign w:val="center"/>
            <w:hideMark/>
          </w:tcPr>
          <w:p w14:paraId="47F1C6B0" w14:textId="77777777" w:rsidR="003C5945" w:rsidRPr="003C5945" w:rsidRDefault="003C5945" w:rsidP="00086BEB">
            <w:pPr>
              <w:spacing w:before="0" w:after="0" w:line="240" w:lineRule="auto"/>
              <w:jc w:val="left"/>
              <w:rPr>
                <w:rFonts w:ascii="Calibri" w:hAnsi="Calibri" w:cs="Times New Roman"/>
                <w:color w:val="000000"/>
                <w:spacing w:val="0"/>
                <w:sz w:val="20"/>
                <w:szCs w:val="20"/>
                <w:lang w:val="en-GB"/>
              </w:rPr>
            </w:pPr>
            <w:r w:rsidRPr="003C5945">
              <w:rPr>
                <w:rFonts w:ascii="Calibri" w:hAnsi="Calibri" w:cs="Times New Roman"/>
                <w:color w:val="000000"/>
                <w:spacing w:val="0"/>
                <w:sz w:val="20"/>
                <w:szCs w:val="20"/>
                <w:lang w:val="en-GB"/>
              </w:rPr>
              <w:t>Worker, NGO and community-based education programmes are supported and their impact measured and reported on</w:t>
            </w:r>
          </w:p>
        </w:tc>
        <w:tc>
          <w:tcPr>
            <w:tcW w:w="2268" w:type="dxa"/>
            <w:vMerge/>
            <w:tcBorders>
              <w:top w:val="nil"/>
              <w:left w:val="single" w:sz="8" w:space="0" w:color="auto"/>
              <w:bottom w:val="single" w:sz="8" w:space="0" w:color="000000"/>
              <w:right w:val="single" w:sz="8" w:space="0" w:color="auto"/>
            </w:tcBorders>
            <w:vAlign w:val="center"/>
            <w:hideMark/>
          </w:tcPr>
          <w:p w14:paraId="7FC35BE5" w14:textId="77777777" w:rsidR="003C5945" w:rsidRPr="003C5945" w:rsidRDefault="003C5945" w:rsidP="00086BEB">
            <w:pPr>
              <w:spacing w:before="0" w:after="0" w:line="240" w:lineRule="auto"/>
              <w:jc w:val="left"/>
              <w:rPr>
                <w:rFonts w:ascii="Calibri" w:hAnsi="Calibri" w:cs="Times New Roman"/>
                <w:color w:val="000000"/>
                <w:spacing w:val="0"/>
                <w:sz w:val="20"/>
                <w:szCs w:val="20"/>
                <w:lang w:val="en-GB"/>
              </w:rPr>
            </w:pPr>
          </w:p>
        </w:tc>
      </w:tr>
      <w:tr w:rsidR="003C5945" w:rsidRPr="00FF7160" w14:paraId="4F23A12B" w14:textId="77777777" w:rsidTr="007B4A3D">
        <w:trPr>
          <w:trHeight w:val="125"/>
        </w:trPr>
        <w:tc>
          <w:tcPr>
            <w:tcW w:w="2259" w:type="dxa"/>
            <w:tcBorders>
              <w:top w:val="nil"/>
              <w:left w:val="single" w:sz="8" w:space="0" w:color="auto"/>
              <w:bottom w:val="single" w:sz="8" w:space="0" w:color="auto"/>
              <w:right w:val="single" w:sz="8" w:space="0" w:color="auto"/>
            </w:tcBorders>
            <w:shd w:val="clear" w:color="000000" w:fill="BFBFBF"/>
            <w:vAlign w:val="center"/>
            <w:hideMark/>
          </w:tcPr>
          <w:p w14:paraId="6F572648" w14:textId="77777777" w:rsidR="003C5945" w:rsidRPr="003C5945" w:rsidRDefault="003C5945" w:rsidP="00086BEB">
            <w:pPr>
              <w:spacing w:before="0" w:after="0" w:line="240" w:lineRule="auto"/>
              <w:jc w:val="left"/>
              <w:rPr>
                <w:rFonts w:ascii="Calibri" w:hAnsi="Calibri" w:cs="Times New Roman"/>
                <w:color w:val="000000"/>
                <w:spacing w:val="0"/>
                <w:sz w:val="20"/>
                <w:szCs w:val="20"/>
                <w:lang w:val="en-GB"/>
              </w:rPr>
            </w:pPr>
            <w:r w:rsidRPr="003C5945">
              <w:rPr>
                <w:rFonts w:ascii="Calibri" w:hAnsi="Calibri" w:cs="Times New Roman"/>
                <w:color w:val="000000"/>
                <w:spacing w:val="0"/>
                <w:sz w:val="20"/>
                <w:szCs w:val="20"/>
                <w:lang w:val="en-GB"/>
              </w:rPr>
              <w:lastRenderedPageBreak/>
              <w:t> </w:t>
            </w:r>
          </w:p>
        </w:tc>
        <w:tc>
          <w:tcPr>
            <w:tcW w:w="2267" w:type="dxa"/>
            <w:tcBorders>
              <w:top w:val="nil"/>
              <w:left w:val="nil"/>
              <w:bottom w:val="single" w:sz="8" w:space="0" w:color="auto"/>
              <w:right w:val="single" w:sz="8" w:space="0" w:color="auto"/>
            </w:tcBorders>
            <w:shd w:val="clear" w:color="000000" w:fill="BFBFBF"/>
            <w:vAlign w:val="center"/>
            <w:hideMark/>
          </w:tcPr>
          <w:p w14:paraId="7D649821" w14:textId="77777777" w:rsidR="003C5945" w:rsidRPr="003C5945" w:rsidRDefault="003C5945" w:rsidP="00086BEB">
            <w:pPr>
              <w:spacing w:before="0" w:after="0" w:line="240" w:lineRule="auto"/>
              <w:jc w:val="left"/>
              <w:rPr>
                <w:rFonts w:ascii="Calibri" w:hAnsi="Calibri" w:cs="Times New Roman"/>
                <w:color w:val="000000"/>
                <w:spacing w:val="0"/>
                <w:sz w:val="20"/>
                <w:szCs w:val="20"/>
                <w:lang w:val="en-GB"/>
              </w:rPr>
            </w:pPr>
            <w:r w:rsidRPr="003C5945">
              <w:rPr>
                <w:rFonts w:ascii="Calibri" w:hAnsi="Calibri" w:cs="Times New Roman"/>
                <w:color w:val="000000"/>
                <w:spacing w:val="0"/>
                <w:sz w:val="20"/>
                <w:szCs w:val="20"/>
                <w:lang w:val="en-GB"/>
              </w:rPr>
              <w:t> </w:t>
            </w:r>
          </w:p>
        </w:tc>
        <w:tc>
          <w:tcPr>
            <w:tcW w:w="2268" w:type="dxa"/>
            <w:tcBorders>
              <w:top w:val="nil"/>
              <w:left w:val="nil"/>
              <w:bottom w:val="single" w:sz="8" w:space="0" w:color="auto"/>
              <w:right w:val="single" w:sz="8" w:space="0" w:color="auto"/>
            </w:tcBorders>
            <w:shd w:val="clear" w:color="000000" w:fill="BFBFBF"/>
            <w:vAlign w:val="center"/>
            <w:hideMark/>
          </w:tcPr>
          <w:p w14:paraId="3C1CDB83" w14:textId="77777777" w:rsidR="003C5945" w:rsidRPr="003C5945" w:rsidRDefault="003C5945" w:rsidP="00086BEB">
            <w:pPr>
              <w:spacing w:before="0" w:after="0" w:line="240" w:lineRule="auto"/>
              <w:jc w:val="left"/>
              <w:rPr>
                <w:rFonts w:ascii="Calibri" w:hAnsi="Calibri" w:cs="Times New Roman"/>
                <w:color w:val="000000"/>
                <w:spacing w:val="0"/>
                <w:sz w:val="20"/>
                <w:szCs w:val="20"/>
                <w:lang w:val="en-GB"/>
              </w:rPr>
            </w:pPr>
            <w:r w:rsidRPr="003C5945">
              <w:rPr>
                <w:rFonts w:ascii="Calibri" w:hAnsi="Calibri" w:cs="Times New Roman"/>
                <w:color w:val="000000"/>
                <w:spacing w:val="0"/>
                <w:sz w:val="20"/>
                <w:szCs w:val="20"/>
                <w:lang w:val="en-GB"/>
              </w:rPr>
              <w:t> </w:t>
            </w:r>
          </w:p>
        </w:tc>
        <w:tc>
          <w:tcPr>
            <w:tcW w:w="2268" w:type="dxa"/>
            <w:tcBorders>
              <w:top w:val="nil"/>
              <w:left w:val="nil"/>
              <w:bottom w:val="single" w:sz="8" w:space="0" w:color="auto"/>
              <w:right w:val="single" w:sz="8" w:space="0" w:color="auto"/>
            </w:tcBorders>
            <w:shd w:val="clear" w:color="000000" w:fill="BFBFBF"/>
            <w:vAlign w:val="center"/>
            <w:hideMark/>
          </w:tcPr>
          <w:p w14:paraId="2CA59998" w14:textId="77777777" w:rsidR="003C5945" w:rsidRPr="003C5945" w:rsidRDefault="003C5945" w:rsidP="00086BEB">
            <w:pPr>
              <w:spacing w:before="0" w:after="0" w:line="240" w:lineRule="auto"/>
              <w:jc w:val="left"/>
              <w:rPr>
                <w:rFonts w:ascii="Calibri" w:hAnsi="Calibri" w:cs="Times New Roman"/>
                <w:color w:val="000000"/>
                <w:spacing w:val="0"/>
                <w:sz w:val="20"/>
                <w:szCs w:val="20"/>
                <w:lang w:val="en-GB"/>
              </w:rPr>
            </w:pPr>
            <w:r w:rsidRPr="003C5945">
              <w:rPr>
                <w:rFonts w:ascii="Calibri" w:hAnsi="Calibri" w:cs="Times New Roman"/>
                <w:color w:val="000000"/>
                <w:spacing w:val="0"/>
                <w:sz w:val="20"/>
                <w:szCs w:val="20"/>
                <w:lang w:val="en-GB"/>
              </w:rPr>
              <w:t> </w:t>
            </w:r>
          </w:p>
        </w:tc>
        <w:tc>
          <w:tcPr>
            <w:tcW w:w="2268" w:type="dxa"/>
            <w:tcBorders>
              <w:top w:val="nil"/>
              <w:left w:val="nil"/>
              <w:bottom w:val="single" w:sz="8" w:space="0" w:color="auto"/>
              <w:right w:val="single" w:sz="8" w:space="0" w:color="auto"/>
            </w:tcBorders>
            <w:shd w:val="clear" w:color="000000" w:fill="BFBFBF"/>
            <w:vAlign w:val="center"/>
            <w:hideMark/>
          </w:tcPr>
          <w:p w14:paraId="339F4023" w14:textId="77777777" w:rsidR="003C5945" w:rsidRPr="003C5945" w:rsidRDefault="003C5945" w:rsidP="00086BEB">
            <w:pPr>
              <w:spacing w:before="0" w:after="0" w:line="240" w:lineRule="auto"/>
              <w:jc w:val="left"/>
              <w:rPr>
                <w:rFonts w:ascii="Calibri" w:hAnsi="Calibri" w:cs="Times New Roman"/>
                <w:color w:val="000000"/>
                <w:spacing w:val="0"/>
                <w:sz w:val="20"/>
                <w:szCs w:val="20"/>
                <w:lang w:val="en-GB"/>
              </w:rPr>
            </w:pPr>
            <w:r w:rsidRPr="003C5945">
              <w:rPr>
                <w:rFonts w:ascii="Calibri" w:hAnsi="Calibri" w:cs="Times New Roman"/>
                <w:color w:val="000000"/>
                <w:spacing w:val="0"/>
                <w:sz w:val="20"/>
                <w:szCs w:val="20"/>
                <w:lang w:val="en-GB"/>
              </w:rPr>
              <w:t> </w:t>
            </w:r>
          </w:p>
        </w:tc>
        <w:tc>
          <w:tcPr>
            <w:tcW w:w="2268" w:type="dxa"/>
            <w:tcBorders>
              <w:top w:val="nil"/>
              <w:left w:val="nil"/>
              <w:bottom w:val="single" w:sz="8" w:space="0" w:color="auto"/>
              <w:right w:val="single" w:sz="8" w:space="0" w:color="auto"/>
            </w:tcBorders>
            <w:shd w:val="clear" w:color="000000" w:fill="BFBFBF"/>
            <w:vAlign w:val="center"/>
            <w:hideMark/>
          </w:tcPr>
          <w:p w14:paraId="78D6450B" w14:textId="77777777" w:rsidR="003C5945" w:rsidRPr="003C5945" w:rsidRDefault="003C5945" w:rsidP="00086BEB">
            <w:pPr>
              <w:spacing w:before="0" w:after="0" w:line="240" w:lineRule="auto"/>
              <w:jc w:val="left"/>
              <w:rPr>
                <w:rFonts w:ascii="Calibri" w:hAnsi="Calibri" w:cs="Times New Roman"/>
                <w:color w:val="000000"/>
                <w:spacing w:val="0"/>
                <w:sz w:val="20"/>
                <w:szCs w:val="20"/>
                <w:lang w:val="en-GB"/>
              </w:rPr>
            </w:pPr>
            <w:r w:rsidRPr="003C5945">
              <w:rPr>
                <w:rFonts w:ascii="Calibri" w:hAnsi="Calibri" w:cs="Times New Roman"/>
                <w:color w:val="000000"/>
                <w:spacing w:val="0"/>
                <w:sz w:val="20"/>
                <w:szCs w:val="20"/>
                <w:lang w:val="en-GB"/>
              </w:rPr>
              <w:t> </w:t>
            </w:r>
          </w:p>
        </w:tc>
      </w:tr>
      <w:tr w:rsidR="003C5945" w:rsidRPr="00FF7160" w14:paraId="0EFE5C74" w14:textId="77777777" w:rsidTr="007B4A3D">
        <w:trPr>
          <w:trHeight w:val="1928"/>
        </w:trPr>
        <w:tc>
          <w:tcPr>
            <w:tcW w:w="2259" w:type="dxa"/>
            <w:vMerge w:val="restart"/>
            <w:tcBorders>
              <w:top w:val="nil"/>
              <w:left w:val="single" w:sz="8" w:space="0" w:color="auto"/>
              <w:bottom w:val="single" w:sz="8" w:space="0" w:color="auto"/>
              <w:right w:val="single" w:sz="8" w:space="0" w:color="auto"/>
            </w:tcBorders>
            <w:shd w:val="clear" w:color="auto" w:fill="auto"/>
            <w:vAlign w:val="center"/>
            <w:hideMark/>
          </w:tcPr>
          <w:p w14:paraId="24EAD74C" w14:textId="77777777" w:rsidR="003C5945" w:rsidRPr="003C5945" w:rsidRDefault="003C5945" w:rsidP="00086BEB">
            <w:pPr>
              <w:spacing w:before="0" w:after="0" w:line="240" w:lineRule="auto"/>
              <w:jc w:val="left"/>
              <w:rPr>
                <w:rFonts w:ascii="Calibri" w:hAnsi="Calibri" w:cs="Times New Roman"/>
                <w:color w:val="000000"/>
                <w:spacing w:val="0"/>
                <w:sz w:val="20"/>
                <w:szCs w:val="20"/>
                <w:lang w:val="en-GB"/>
              </w:rPr>
            </w:pPr>
            <w:r w:rsidRPr="003C5945">
              <w:rPr>
                <w:rFonts w:ascii="Calibri" w:hAnsi="Calibri" w:cs="Times New Roman"/>
                <w:color w:val="000000"/>
                <w:spacing w:val="0"/>
                <w:sz w:val="20"/>
                <w:szCs w:val="20"/>
                <w:lang w:val="en-GB"/>
              </w:rPr>
              <w:t>Building a capable state that is proactive in the economy</w:t>
            </w:r>
          </w:p>
        </w:tc>
        <w:tc>
          <w:tcPr>
            <w:tcW w:w="2267" w:type="dxa"/>
            <w:tcBorders>
              <w:top w:val="nil"/>
              <w:left w:val="nil"/>
              <w:bottom w:val="single" w:sz="8" w:space="0" w:color="auto"/>
              <w:right w:val="single" w:sz="8" w:space="0" w:color="auto"/>
            </w:tcBorders>
            <w:shd w:val="clear" w:color="auto" w:fill="auto"/>
            <w:vAlign w:val="center"/>
            <w:hideMark/>
          </w:tcPr>
          <w:p w14:paraId="60524EEE" w14:textId="77777777" w:rsidR="003C5945" w:rsidRPr="003C5945" w:rsidRDefault="003C5945" w:rsidP="00086BEB">
            <w:pPr>
              <w:spacing w:before="0" w:after="0" w:line="240" w:lineRule="auto"/>
              <w:jc w:val="left"/>
              <w:rPr>
                <w:rFonts w:ascii="Calibri" w:hAnsi="Calibri" w:cs="Times New Roman"/>
                <w:color w:val="000000"/>
                <w:spacing w:val="0"/>
                <w:sz w:val="20"/>
                <w:szCs w:val="20"/>
                <w:lang w:val="en-GB"/>
              </w:rPr>
            </w:pPr>
            <w:r w:rsidRPr="003C5945">
              <w:rPr>
                <w:rFonts w:ascii="Calibri" w:hAnsi="Calibri" w:cs="Times New Roman"/>
                <w:color w:val="000000"/>
                <w:spacing w:val="0"/>
                <w:sz w:val="20"/>
                <w:szCs w:val="20"/>
                <w:lang w:val="en-GB"/>
              </w:rPr>
              <w:t>SETAS with responsibility for public sector training conduct analysis and reflection on achievements and challenges</w:t>
            </w:r>
          </w:p>
        </w:tc>
        <w:tc>
          <w:tcPr>
            <w:tcW w:w="2268" w:type="dxa"/>
            <w:tcBorders>
              <w:top w:val="nil"/>
              <w:left w:val="nil"/>
              <w:bottom w:val="single" w:sz="8" w:space="0" w:color="auto"/>
              <w:right w:val="single" w:sz="8" w:space="0" w:color="auto"/>
            </w:tcBorders>
            <w:shd w:val="clear" w:color="auto" w:fill="auto"/>
            <w:vAlign w:val="center"/>
            <w:hideMark/>
          </w:tcPr>
          <w:p w14:paraId="49A75E0D" w14:textId="77777777" w:rsidR="003C5945" w:rsidRPr="003C5945" w:rsidRDefault="003C5945" w:rsidP="00086BEB">
            <w:pPr>
              <w:spacing w:before="0" w:after="0" w:line="240" w:lineRule="auto"/>
              <w:jc w:val="left"/>
              <w:rPr>
                <w:rFonts w:ascii="Calibri" w:hAnsi="Calibri" w:cs="Times New Roman"/>
                <w:color w:val="000000"/>
                <w:spacing w:val="0"/>
                <w:sz w:val="20"/>
                <w:szCs w:val="20"/>
                <w:lang w:val="en-GB"/>
              </w:rPr>
            </w:pPr>
            <w:r w:rsidRPr="003C5945">
              <w:rPr>
                <w:rFonts w:ascii="Calibri" w:hAnsi="Calibri" w:cs="Times New Roman"/>
                <w:color w:val="000000"/>
                <w:spacing w:val="0"/>
                <w:sz w:val="20"/>
                <w:szCs w:val="20"/>
                <w:lang w:val="en-GB"/>
              </w:rPr>
              <w:t>A thorough analysis and reflection is conducted on provision of education and training within the public sector and the contribution of the various role players</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14:paraId="2B39F1B9" w14:textId="77777777" w:rsidR="003C5945" w:rsidRPr="003C5945" w:rsidRDefault="003C5945" w:rsidP="00086BEB">
            <w:pPr>
              <w:spacing w:before="0" w:after="0" w:line="240" w:lineRule="auto"/>
              <w:jc w:val="left"/>
              <w:rPr>
                <w:rFonts w:ascii="Calibri" w:hAnsi="Calibri" w:cs="Times New Roman"/>
                <w:color w:val="000000"/>
                <w:spacing w:val="0"/>
                <w:sz w:val="20"/>
                <w:szCs w:val="20"/>
                <w:lang w:val="en-GB"/>
              </w:rPr>
            </w:pPr>
            <w:r w:rsidRPr="003C5945">
              <w:rPr>
                <w:rFonts w:ascii="Calibri" w:hAnsi="Calibri" w:cs="Times New Roman"/>
                <w:color w:val="000000"/>
                <w:spacing w:val="0"/>
                <w:sz w:val="20"/>
                <w:szCs w:val="20"/>
                <w:lang w:val="en-GB"/>
              </w:rPr>
              <w:t>Plans and funding arrangements are agreed between the relevant departments/entities and the SETAs, and are reported on.</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14:paraId="042EC7DD" w14:textId="77777777" w:rsidR="003C5945" w:rsidRPr="003C5945" w:rsidRDefault="003C5945" w:rsidP="00086BEB">
            <w:pPr>
              <w:spacing w:before="0" w:after="0" w:line="240" w:lineRule="auto"/>
              <w:jc w:val="left"/>
              <w:rPr>
                <w:rFonts w:ascii="Calibri" w:hAnsi="Calibri" w:cs="Times New Roman"/>
                <w:color w:val="000000"/>
                <w:spacing w:val="0"/>
                <w:sz w:val="20"/>
                <w:szCs w:val="20"/>
                <w:lang w:val="en-GB"/>
              </w:rPr>
            </w:pPr>
            <w:r w:rsidRPr="003C5945">
              <w:rPr>
                <w:rFonts w:ascii="Calibri" w:hAnsi="Calibri" w:cs="Times New Roman"/>
                <w:color w:val="000000"/>
                <w:spacing w:val="0"/>
                <w:sz w:val="20"/>
                <w:szCs w:val="20"/>
                <w:lang w:val="en-GB"/>
              </w:rPr>
              <w:t>Education and training plans for the public sector are revised and programmes are implemented to build capacity</w:t>
            </w:r>
          </w:p>
        </w:tc>
        <w:tc>
          <w:tcPr>
            <w:tcW w:w="2268" w:type="dxa"/>
            <w:vMerge w:val="restart"/>
            <w:tcBorders>
              <w:top w:val="nil"/>
              <w:left w:val="single" w:sz="8" w:space="0" w:color="auto"/>
              <w:bottom w:val="single" w:sz="8" w:space="0" w:color="000000"/>
              <w:right w:val="single" w:sz="8" w:space="0" w:color="auto"/>
            </w:tcBorders>
            <w:shd w:val="clear" w:color="auto" w:fill="auto"/>
            <w:vAlign w:val="center"/>
            <w:hideMark/>
          </w:tcPr>
          <w:p w14:paraId="135A6C6D" w14:textId="77777777" w:rsidR="003C5945" w:rsidRPr="003C5945" w:rsidRDefault="003C5945" w:rsidP="00086BEB">
            <w:pPr>
              <w:spacing w:before="0" w:after="0" w:line="240" w:lineRule="auto"/>
              <w:jc w:val="left"/>
              <w:rPr>
                <w:rFonts w:ascii="Calibri" w:hAnsi="Calibri" w:cs="Times New Roman"/>
                <w:color w:val="000000"/>
                <w:spacing w:val="0"/>
                <w:sz w:val="20"/>
                <w:szCs w:val="20"/>
                <w:lang w:val="en-GB"/>
              </w:rPr>
            </w:pPr>
            <w:r w:rsidRPr="003C5945">
              <w:rPr>
                <w:rFonts w:ascii="Calibri" w:hAnsi="Calibri" w:cs="Times New Roman"/>
                <w:color w:val="000000"/>
                <w:spacing w:val="0"/>
                <w:sz w:val="20"/>
                <w:szCs w:val="20"/>
                <w:lang w:val="en-GB"/>
              </w:rPr>
              <w:t>Increasing public sector capacity for improved service delivery and supporting the building of a developmental state</w:t>
            </w:r>
          </w:p>
        </w:tc>
      </w:tr>
      <w:tr w:rsidR="003C5945" w:rsidRPr="00FF7160" w14:paraId="72E9FA73" w14:textId="77777777" w:rsidTr="007B4A3D">
        <w:trPr>
          <w:trHeight w:val="2098"/>
        </w:trPr>
        <w:tc>
          <w:tcPr>
            <w:tcW w:w="2259" w:type="dxa"/>
            <w:vMerge/>
            <w:tcBorders>
              <w:top w:val="nil"/>
              <w:left w:val="single" w:sz="8" w:space="0" w:color="auto"/>
              <w:bottom w:val="single" w:sz="8" w:space="0" w:color="auto"/>
              <w:right w:val="single" w:sz="8" w:space="0" w:color="auto"/>
            </w:tcBorders>
            <w:vAlign w:val="center"/>
            <w:hideMark/>
          </w:tcPr>
          <w:p w14:paraId="4F2D9339" w14:textId="77777777" w:rsidR="003C5945" w:rsidRPr="00835DAC" w:rsidRDefault="003C5945" w:rsidP="00086BEB">
            <w:pPr>
              <w:spacing w:before="0" w:after="0" w:line="240" w:lineRule="auto"/>
              <w:jc w:val="left"/>
              <w:rPr>
                <w:rFonts w:ascii="Calibri" w:hAnsi="Calibri" w:cs="Times New Roman"/>
                <w:color w:val="000000"/>
                <w:spacing w:val="0"/>
                <w:szCs w:val="24"/>
                <w:lang w:val="en-GB"/>
              </w:rPr>
            </w:pPr>
          </w:p>
        </w:tc>
        <w:tc>
          <w:tcPr>
            <w:tcW w:w="2267" w:type="dxa"/>
            <w:tcBorders>
              <w:top w:val="nil"/>
              <w:left w:val="nil"/>
              <w:bottom w:val="single" w:sz="8" w:space="0" w:color="auto"/>
              <w:right w:val="single" w:sz="8" w:space="0" w:color="auto"/>
            </w:tcBorders>
            <w:shd w:val="clear" w:color="auto" w:fill="auto"/>
            <w:vAlign w:val="center"/>
            <w:hideMark/>
          </w:tcPr>
          <w:p w14:paraId="2275DDAE" w14:textId="77777777" w:rsidR="003C5945" w:rsidRPr="003C5945" w:rsidRDefault="003C5945" w:rsidP="00086BEB">
            <w:pPr>
              <w:spacing w:before="0" w:after="0" w:line="240" w:lineRule="auto"/>
              <w:jc w:val="left"/>
              <w:rPr>
                <w:rFonts w:ascii="Calibri" w:hAnsi="Calibri" w:cs="Times New Roman"/>
                <w:color w:val="000000"/>
                <w:spacing w:val="0"/>
                <w:sz w:val="20"/>
                <w:szCs w:val="20"/>
                <w:lang w:val="en-GB"/>
              </w:rPr>
            </w:pPr>
            <w:r w:rsidRPr="003C5945">
              <w:rPr>
                <w:rFonts w:ascii="Calibri" w:hAnsi="Calibri" w:cs="Times New Roman"/>
                <w:color w:val="000000"/>
                <w:spacing w:val="0"/>
                <w:sz w:val="20"/>
                <w:szCs w:val="20"/>
                <w:lang w:val="en-GB"/>
              </w:rPr>
              <w:t>DHET leads a discussion on factors impacting on provision and publishes proposals on improving the institutional framework for public sector education and training.</w:t>
            </w:r>
          </w:p>
        </w:tc>
        <w:tc>
          <w:tcPr>
            <w:tcW w:w="2268" w:type="dxa"/>
            <w:tcBorders>
              <w:top w:val="nil"/>
              <w:left w:val="nil"/>
              <w:bottom w:val="single" w:sz="8" w:space="0" w:color="auto"/>
              <w:right w:val="single" w:sz="8" w:space="0" w:color="auto"/>
            </w:tcBorders>
            <w:shd w:val="clear" w:color="auto" w:fill="auto"/>
            <w:vAlign w:val="center"/>
            <w:hideMark/>
          </w:tcPr>
          <w:p w14:paraId="339BD356" w14:textId="77777777" w:rsidR="003C5945" w:rsidRPr="003C5945" w:rsidRDefault="003C5945" w:rsidP="00086BEB">
            <w:pPr>
              <w:spacing w:before="0" w:after="0" w:line="240" w:lineRule="auto"/>
              <w:jc w:val="left"/>
              <w:rPr>
                <w:rFonts w:ascii="Calibri" w:hAnsi="Calibri" w:cs="Times New Roman"/>
                <w:color w:val="000000"/>
                <w:spacing w:val="0"/>
                <w:sz w:val="20"/>
                <w:szCs w:val="20"/>
                <w:lang w:val="en-GB"/>
              </w:rPr>
            </w:pPr>
            <w:r w:rsidRPr="003C5945">
              <w:rPr>
                <w:rFonts w:ascii="Calibri" w:hAnsi="Calibri" w:cs="Times New Roman"/>
                <w:color w:val="000000"/>
                <w:spacing w:val="0"/>
                <w:sz w:val="20"/>
                <w:szCs w:val="20"/>
                <w:lang w:val="en-GB"/>
              </w:rPr>
              <w:t>Sector skills plans set out the capacity needs of relevant departments and entities.</w:t>
            </w:r>
          </w:p>
        </w:tc>
        <w:tc>
          <w:tcPr>
            <w:tcW w:w="2268" w:type="dxa"/>
            <w:vMerge/>
            <w:tcBorders>
              <w:top w:val="nil"/>
              <w:left w:val="single" w:sz="8" w:space="0" w:color="auto"/>
              <w:bottom w:val="single" w:sz="8" w:space="0" w:color="000000"/>
              <w:right w:val="single" w:sz="8" w:space="0" w:color="auto"/>
            </w:tcBorders>
            <w:vAlign w:val="center"/>
            <w:hideMark/>
          </w:tcPr>
          <w:p w14:paraId="42F0674B" w14:textId="77777777" w:rsidR="003C5945" w:rsidRPr="003C5945" w:rsidRDefault="003C5945" w:rsidP="00086BEB">
            <w:pPr>
              <w:spacing w:before="0" w:after="0" w:line="240" w:lineRule="auto"/>
              <w:jc w:val="left"/>
              <w:rPr>
                <w:rFonts w:ascii="Calibri" w:hAnsi="Calibri" w:cs="Times New Roman"/>
                <w:color w:val="000000"/>
                <w:spacing w:val="0"/>
                <w:sz w:val="20"/>
                <w:szCs w:val="20"/>
                <w:lang w:val="en-GB"/>
              </w:rPr>
            </w:pPr>
          </w:p>
        </w:tc>
        <w:tc>
          <w:tcPr>
            <w:tcW w:w="2268" w:type="dxa"/>
            <w:vMerge/>
            <w:tcBorders>
              <w:top w:val="nil"/>
              <w:left w:val="single" w:sz="8" w:space="0" w:color="auto"/>
              <w:bottom w:val="single" w:sz="8" w:space="0" w:color="000000"/>
              <w:right w:val="single" w:sz="8" w:space="0" w:color="auto"/>
            </w:tcBorders>
            <w:vAlign w:val="center"/>
            <w:hideMark/>
          </w:tcPr>
          <w:p w14:paraId="68122E2A" w14:textId="77777777" w:rsidR="003C5945" w:rsidRPr="003C5945" w:rsidRDefault="003C5945" w:rsidP="00086BEB">
            <w:pPr>
              <w:spacing w:before="0" w:after="0" w:line="240" w:lineRule="auto"/>
              <w:jc w:val="left"/>
              <w:rPr>
                <w:rFonts w:ascii="Calibri" w:hAnsi="Calibri" w:cs="Times New Roman"/>
                <w:color w:val="000000"/>
                <w:spacing w:val="0"/>
                <w:sz w:val="20"/>
                <w:szCs w:val="20"/>
                <w:lang w:val="en-GB"/>
              </w:rPr>
            </w:pPr>
          </w:p>
        </w:tc>
        <w:tc>
          <w:tcPr>
            <w:tcW w:w="2268" w:type="dxa"/>
            <w:vMerge/>
            <w:tcBorders>
              <w:top w:val="nil"/>
              <w:left w:val="single" w:sz="8" w:space="0" w:color="auto"/>
              <w:bottom w:val="single" w:sz="8" w:space="0" w:color="000000"/>
              <w:right w:val="single" w:sz="8" w:space="0" w:color="auto"/>
            </w:tcBorders>
            <w:vAlign w:val="center"/>
            <w:hideMark/>
          </w:tcPr>
          <w:p w14:paraId="40A772C0" w14:textId="77777777" w:rsidR="003C5945" w:rsidRPr="003C5945" w:rsidRDefault="003C5945" w:rsidP="00086BEB">
            <w:pPr>
              <w:spacing w:before="0" w:after="0" w:line="240" w:lineRule="auto"/>
              <w:jc w:val="left"/>
              <w:rPr>
                <w:rFonts w:ascii="Calibri" w:hAnsi="Calibri" w:cs="Times New Roman"/>
                <w:color w:val="000000"/>
                <w:spacing w:val="0"/>
                <w:sz w:val="20"/>
                <w:szCs w:val="20"/>
                <w:lang w:val="en-GB"/>
              </w:rPr>
            </w:pPr>
          </w:p>
        </w:tc>
      </w:tr>
      <w:tr w:rsidR="003C5945" w:rsidRPr="00FF7160" w14:paraId="7DB3AAEE" w14:textId="77777777" w:rsidTr="007B4A3D">
        <w:trPr>
          <w:trHeight w:val="2580"/>
        </w:trPr>
        <w:tc>
          <w:tcPr>
            <w:tcW w:w="2259" w:type="dxa"/>
            <w:tcBorders>
              <w:top w:val="nil"/>
              <w:left w:val="single" w:sz="8" w:space="0" w:color="auto"/>
              <w:bottom w:val="single" w:sz="8" w:space="0" w:color="auto"/>
              <w:right w:val="single" w:sz="8" w:space="0" w:color="auto"/>
            </w:tcBorders>
            <w:shd w:val="clear" w:color="auto" w:fill="auto"/>
            <w:noWrap/>
            <w:vAlign w:val="center"/>
            <w:hideMark/>
          </w:tcPr>
          <w:p w14:paraId="153A11A7" w14:textId="77777777" w:rsidR="003C5945" w:rsidRPr="003C5945" w:rsidRDefault="003C5945" w:rsidP="00086BEB">
            <w:pPr>
              <w:spacing w:before="0" w:after="0" w:line="240" w:lineRule="auto"/>
              <w:jc w:val="left"/>
              <w:rPr>
                <w:rFonts w:ascii="Calibri" w:hAnsi="Calibri" w:cs="Times New Roman"/>
                <w:color w:val="000000"/>
                <w:spacing w:val="0"/>
                <w:sz w:val="20"/>
                <w:szCs w:val="20"/>
                <w:lang w:val="en-GB"/>
              </w:rPr>
            </w:pPr>
            <w:r w:rsidRPr="003C5945">
              <w:rPr>
                <w:rFonts w:ascii="Calibri" w:hAnsi="Calibri" w:cs="Times New Roman"/>
                <w:color w:val="000000"/>
                <w:spacing w:val="0"/>
                <w:sz w:val="20"/>
                <w:szCs w:val="20"/>
                <w:lang w:val="en-GB"/>
              </w:rPr>
              <w:t xml:space="preserve">Careers development </w:t>
            </w:r>
          </w:p>
        </w:tc>
        <w:tc>
          <w:tcPr>
            <w:tcW w:w="2267" w:type="dxa"/>
            <w:tcBorders>
              <w:top w:val="nil"/>
              <w:left w:val="nil"/>
              <w:bottom w:val="single" w:sz="8" w:space="0" w:color="auto"/>
              <w:right w:val="single" w:sz="8" w:space="0" w:color="auto"/>
            </w:tcBorders>
            <w:shd w:val="clear" w:color="auto" w:fill="auto"/>
            <w:vAlign w:val="center"/>
            <w:hideMark/>
          </w:tcPr>
          <w:p w14:paraId="6FC40184" w14:textId="77777777" w:rsidR="003C5945" w:rsidRPr="003C5945" w:rsidRDefault="003C5945" w:rsidP="00086BEB">
            <w:pPr>
              <w:spacing w:before="0" w:after="0" w:line="240" w:lineRule="auto"/>
              <w:jc w:val="left"/>
              <w:rPr>
                <w:rFonts w:ascii="Calibri" w:hAnsi="Calibri" w:cs="Times New Roman"/>
                <w:color w:val="000000"/>
                <w:spacing w:val="0"/>
                <w:sz w:val="20"/>
                <w:szCs w:val="20"/>
                <w:lang w:val="en-GB"/>
              </w:rPr>
            </w:pPr>
            <w:r w:rsidRPr="003C5945">
              <w:rPr>
                <w:rFonts w:ascii="Calibri" w:hAnsi="Calibri" w:cs="Times New Roman"/>
                <w:color w:val="000000"/>
                <w:spacing w:val="0"/>
                <w:sz w:val="20"/>
                <w:szCs w:val="20"/>
                <w:lang w:val="en-GB"/>
              </w:rPr>
              <w:t>Career guides are developed with labour market information from SETAs, addressing sub-sectors within their sector.</w:t>
            </w:r>
          </w:p>
        </w:tc>
        <w:tc>
          <w:tcPr>
            <w:tcW w:w="2268" w:type="dxa"/>
            <w:tcBorders>
              <w:top w:val="nil"/>
              <w:left w:val="nil"/>
              <w:bottom w:val="single" w:sz="8" w:space="0" w:color="auto"/>
              <w:right w:val="single" w:sz="8" w:space="0" w:color="auto"/>
            </w:tcBorders>
            <w:shd w:val="clear" w:color="auto" w:fill="auto"/>
            <w:vAlign w:val="center"/>
            <w:hideMark/>
          </w:tcPr>
          <w:p w14:paraId="06B7F397" w14:textId="77777777" w:rsidR="003C5945" w:rsidRPr="003C5945" w:rsidRDefault="003C5945" w:rsidP="00086BEB">
            <w:pPr>
              <w:spacing w:before="0" w:after="0" w:line="240" w:lineRule="auto"/>
              <w:jc w:val="left"/>
              <w:rPr>
                <w:rFonts w:ascii="Calibri" w:hAnsi="Calibri" w:cs="Times New Roman"/>
                <w:color w:val="000000"/>
                <w:spacing w:val="0"/>
                <w:sz w:val="20"/>
                <w:szCs w:val="20"/>
                <w:lang w:val="en-GB"/>
              </w:rPr>
            </w:pPr>
            <w:r w:rsidRPr="003C5945">
              <w:rPr>
                <w:rFonts w:ascii="Calibri" w:hAnsi="Calibri" w:cs="Times New Roman"/>
                <w:color w:val="000000"/>
                <w:spacing w:val="0"/>
                <w:sz w:val="20"/>
                <w:szCs w:val="20"/>
                <w:lang w:val="en-GB"/>
              </w:rPr>
              <w:t>Sector stakeholders are engaged and programmes are adjusted to meet the skills and qualification needs to promote comprehensive career development.</w:t>
            </w:r>
          </w:p>
        </w:tc>
        <w:tc>
          <w:tcPr>
            <w:tcW w:w="2268" w:type="dxa"/>
            <w:tcBorders>
              <w:top w:val="nil"/>
              <w:left w:val="nil"/>
              <w:bottom w:val="single" w:sz="8" w:space="0" w:color="auto"/>
              <w:right w:val="single" w:sz="8" w:space="0" w:color="auto"/>
            </w:tcBorders>
            <w:shd w:val="clear" w:color="auto" w:fill="auto"/>
            <w:vAlign w:val="center"/>
            <w:hideMark/>
          </w:tcPr>
          <w:p w14:paraId="1A18DC93" w14:textId="77777777" w:rsidR="003C5945" w:rsidRPr="003C5945" w:rsidRDefault="003C5945" w:rsidP="00086BEB">
            <w:pPr>
              <w:spacing w:before="0" w:after="0" w:line="240" w:lineRule="auto"/>
              <w:jc w:val="left"/>
              <w:rPr>
                <w:rFonts w:ascii="Calibri" w:hAnsi="Calibri" w:cs="Times New Roman"/>
                <w:color w:val="000000"/>
                <w:spacing w:val="0"/>
                <w:sz w:val="20"/>
                <w:szCs w:val="20"/>
                <w:lang w:val="en-GB"/>
              </w:rPr>
            </w:pPr>
            <w:r w:rsidRPr="003C5945">
              <w:rPr>
                <w:rFonts w:ascii="Calibri" w:hAnsi="Calibri" w:cs="Times New Roman"/>
                <w:color w:val="000000"/>
                <w:spacing w:val="0"/>
                <w:sz w:val="20"/>
                <w:szCs w:val="20"/>
                <w:lang w:val="en-GB"/>
              </w:rPr>
              <w:t>Career paths are mapped to qualifications in all sectors and sub-sectors, and communicated effectively, contributing to improved relevance of training and greater mobility and progression</w:t>
            </w:r>
          </w:p>
        </w:tc>
        <w:tc>
          <w:tcPr>
            <w:tcW w:w="2268" w:type="dxa"/>
            <w:tcBorders>
              <w:top w:val="nil"/>
              <w:left w:val="nil"/>
              <w:bottom w:val="single" w:sz="8" w:space="0" w:color="auto"/>
              <w:right w:val="single" w:sz="8" w:space="0" w:color="auto"/>
            </w:tcBorders>
            <w:shd w:val="clear" w:color="auto" w:fill="auto"/>
            <w:vAlign w:val="center"/>
            <w:hideMark/>
          </w:tcPr>
          <w:p w14:paraId="1DC58FF8" w14:textId="77777777" w:rsidR="003C5945" w:rsidRPr="003C5945" w:rsidRDefault="003C5945" w:rsidP="00086BEB">
            <w:pPr>
              <w:spacing w:before="0" w:after="0" w:line="240" w:lineRule="auto"/>
              <w:jc w:val="left"/>
              <w:rPr>
                <w:rFonts w:ascii="Calibri" w:hAnsi="Calibri" w:cs="Times New Roman"/>
                <w:color w:val="000000"/>
                <w:spacing w:val="0"/>
                <w:sz w:val="20"/>
                <w:szCs w:val="20"/>
                <w:lang w:val="en-GB"/>
              </w:rPr>
            </w:pPr>
            <w:r w:rsidRPr="003C5945">
              <w:rPr>
                <w:rFonts w:ascii="Calibri" w:hAnsi="Calibri" w:cs="Times New Roman"/>
                <w:color w:val="000000"/>
                <w:spacing w:val="0"/>
                <w:sz w:val="20"/>
                <w:szCs w:val="20"/>
                <w:lang w:val="en-GB"/>
              </w:rPr>
              <w:t>Workers and learners are making informed decisions on programmes linked to career plans</w:t>
            </w:r>
          </w:p>
        </w:tc>
        <w:tc>
          <w:tcPr>
            <w:tcW w:w="2268" w:type="dxa"/>
            <w:tcBorders>
              <w:top w:val="nil"/>
              <w:left w:val="nil"/>
              <w:bottom w:val="single" w:sz="8" w:space="0" w:color="auto"/>
              <w:right w:val="single" w:sz="8" w:space="0" w:color="auto"/>
            </w:tcBorders>
            <w:shd w:val="clear" w:color="auto" w:fill="auto"/>
            <w:vAlign w:val="center"/>
            <w:hideMark/>
          </w:tcPr>
          <w:p w14:paraId="5008D3D6" w14:textId="77777777" w:rsidR="003C5945" w:rsidRPr="003C5945" w:rsidRDefault="003C5945" w:rsidP="00086BEB">
            <w:pPr>
              <w:spacing w:before="0" w:after="0" w:line="240" w:lineRule="auto"/>
              <w:jc w:val="left"/>
              <w:rPr>
                <w:rFonts w:ascii="Calibri" w:hAnsi="Calibri" w:cs="Times New Roman"/>
                <w:color w:val="000000"/>
                <w:spacing w:val="0"/>
                <w:sz w:val="20"/>
                <w:szCs w:val="20"/>
                <w:lang w:val="en-GB"/>
              </w:rPr>
            </w:pPr>
            <w:r w:rsidRPr="003C5945">
              <w:rPr>
                <w:rFonts w:ascii="Calibri" w:hAnsi="Calibri" w:cs="Times New Roman"/>
                <w:color w:val="000000"/>
                <w:spacing w:val="0"/>
                <w:sz w:val="20"/>
                <w:szCs w:val="20"/>
                <w:lang w:val="en-GB"/>
              </w:rPr>
              <w:t>Improved relevance of programmes to learner and employer needs.</w:t>
            </w:r>
          </w:p>
        </w:tc>
      </w:tr>
    </w:tbl>
    <w:p w14:paraId="70B165C4" w14:textId="77777777" w:rsidR="00B00FFF" w:rsidRPr="00835DAC" w:rsidRDefault="00B00FFF" w:rsidP="00B00FFF">
      <w:pPr>
        <w:jc w:val="left"/>
        <w:rPr>
          <w:lang w:val="en-GB"/>
        </w:rPr>
      </w:pPr>
    </w:p>
    <w:p w14:paraId="609A1367" w14:textId="77777777" w:rsidR="00B00FFF" w:rsidRPr="00835DAC" w:rsidRDefault="00B00FFF" w:rsidP="00B00FFF">
      <w:pPr>
        <w:jc w:val="left"/>
        <w:rPr>
          <w:lang w:val="en-GB"/>
        </w:rPr>
      </w:pPr>
    </w:p>
    <w:p w14:paraId="61AF9B8C" w14:textId="77777777" w:rsidR="00F409EB" w:rsidRDefault="00B00FFF" w:rsidP="00B00FFF">
      <w:pPr>
        <w:pStyle w:val="Heading2"/>
        <w:sectPr w:rsidR="00F409EB" w:rsidSect="00086BEB">
          <w:pgSz w:w="16840" w:h="11900" w:orient="landscape"/>
          <w:pgMar w:top="1440" w:right="1440" w:bottom="1440" w:left="1440" w:header="708" w:footer="708" w:gutter="0"/>
          <w:cols w:space="708"/>
          <w:docGrid w:linePitch="360"/>
        </w:sectPr>
      </w:pPr>
      <w:r w:rsidRPr="005F0F0F">
        <w:br w:type="page"/>
      </w:r>
      <w:bookmarkStart w:id="10" w:name="_Toc477956875"/>
    </w:p>
    <w:p w14:paraId="11E7325C" w14:textId="3FA46CA4" w:rsidR="00B00FFF" w:rsidRPr="00F409EB" w:rsidRDefault="00B00FFF" w:rsidP="00F409EB">
      <w:pPr>
        <w:pStyle w:val="Heading2"/>
      </w:pPr>
      <w:bookmarkStart w:id="11" w:name="_Toc479577019"/>
      <w:r w:rsidRPr="00F409EB">
        <w:lastRenderedPageBreak/>
        <w:t>Cross-cutting themes of NSDSIII</w:t>
      </w:r>
      <w:bookmarkEnd w:id="10"/>
      <w:bookmarkEnd w:id="11"/>
    </w:p>
    <w:p w14:paraId="6D83A206" w14:textId="77777777" w:rsidR="00B00FFF" w:rsidRPr="00F409EB" w:rsidRDefault="00B00FFF" w:rsidP="00F409EB">
      <w:pPr>
        <w:spacing w:line="360" w:lineRule="auto"/>
        <w:rPr>
          <w:rFonts w:ascii="Times New Roman" w:hAnsi="Times New Roman" w:cs="Times New Roman"/>
          <w:lang w:val="en-GB"/>
        </w:rPr>
      </w:pPr>
      <w:r w:rsidRPr="00F409EB">
        <w:rPr>
          <w:rFonts w:ascii="Times New Roman" w:hAnsi="Times New Roman" w:cs="Times New Roman"/>
          <w:lang w:val="en-GB"/>
        </w:rPr>
        <w:t>In addition to the specific goals and outputs the NSDS makes reference to a number of priorities in the text of the document. The following is a list of cross-cutting issues that need to be considered in addition to, or in conjunction with, the above TOC.</w:t>
      </w:r>
    </w:p>
    <w:p w14:paraId="6DEBBFA1" w14:textId="1FEF1153" w:rsidR="00B00FFF" w:rsidRPr="004504CF" w:rsidRDefault="00B00FFF" w:rsidP="005D62F3">
      <w:pPr>
        <w:pStyle w:val="ListParagraph"/>
        <w:numPr>
          <w:ilvl w:val="0"/>
          <w:numId w:val="3"/>
        </w:numPr>
        <w:rPr>
          <w:b/>
          <w:i/>
        </w:rPr>
      </w:pPr>
      <w:r w:rsidRPr="004504CF">
        <w:t>The strategy must achieve "Fundamental transfor</w:t>
      </w:r>
      <w:r w:rsidR="00F409EB" w:rsidRPr="004504CF">
        <w:t xml:space="preserve">mation” and address historical </w:t>
      </w:r>
      <w:r w:rsidRPr="004504CF">
        <w:t>inequities linked to class, race, gender, age and disability in our society"</w:t>
      </w:r>
      <w:r w:rsidRPr="004504CF">
        <w:rPr>
          <w:b/>
          <w:i/>
        </w:rPr>
        <w:t xml:space="preserve">.  </w:t>
      </w:r>
      <w:r w:rsidRPr="004504CF">
        <w:t xml:space="preserve">This points to the need for equity and demographics to be considered in the measurement of progress in relation to all the outputs, outcomes and impacts being measured. The assumption is that </w:t>
      </w:r>
      <w:r w:rsidRPr="004504CF">
        <w:rPr>
          <w:b/>
        </w:rPr>
        <w:t>constant attention will be given to achieving equity and redress</w:t>
      </w:r>
      <w:r w:rsidRPr="004504CF">
        <w:t>.</w:t>
      </w:r>
    </w:p>
    <w:p w14:paraId="082382A5" w14:textId="77777777" w:rsidR="00B00FFF" w:rsidRPr="004504CF" w:rsidRDefault="00B00FFF" w:rsidP="005D62F3">
      <w:pPr>
        <w:pStyle w:val="ListParagraph"/>
        <w:numPr>
          <w:ilvl w:val="0"/>
          <w:numId w:val="3"/>
        </w:numPr>
        <w:rPr>
          <w:b/>
        </w:rPr>
      </w:pPr>
      <w:r w:rsidRPr="004504CF">
        <w:t xml:space="preserve">The Vision (quoted above) is clearly indicating the economic role that NSDSIII is intending to play, first by improving economic performance and therefore the creation of jobs and income generating opportunities, and secondly enabling previously disadvantaged people, through skills development, to gain access to these opportunities. The assumption is that </w:t>
      </w:r>
      <w:r w:rsidRPr="004504CF">
        <w:rPr>
          <w:b/>
        </w:rPr>
        <w:t>there will be a close working relationship between the Skills Strategy and economic and development strategy stakeholders in using skills to build the economy.</w:t>
      </w:r>
    </w:p>
    <w:p w14:paraId="5557B0DB" w14:textId="77777777" w:rsidR="00B00FFF" w:rsidRPr="004504CF" w:rsidRDefault="00B00FFF" w:rsidP="005D62F3">
      <w:pPr>
        <w:pStyle w:val="ListParagraph"/>
        <w:numPr>
          <w:ilvl w:val="0"/>
          <w:numId w:val="3"/>
        </w:numPr>
        <w:rPr>
          <w:color w:val="000000"/>
        </w:rPr>
      </w:pPr>
      <w:r w:rsidRPr="004504CF">
        <w:t xml:space="preserve">In the problem statement there is a commitment given to addressing certain issues that are addressed as outputs but in addition the following are listed: the need to </w:t>
      </w:r>
      <w:r w:rsidRPr="004504CF">
        <w:rPr>
          <w:color w:val="000000"/>
        </w:rPr>
        <w:t xml:space="preserve">focus on “substantial programmes” (not just short courses); the importance of training to enable workers to avoid retrenchment and adapt to change; reducing inefficiency and silos that get in the way of skills development; addressing rural skills needs and not focusing all training within towns and urban areas. The assumptions are: </w:t>
      </w:r>
      <w:r w:rsidRPr="004504CF">
        <w:rPr>
          <w:b/>
          <w:color w:val="000000"/>
        </w:rPr>
        <w:t>that SETAs and the NSF will intervene to support employed workers with training that is substantial</w:t>
      </w:r>
      <w:r w:rsidRPr="004504CF">
        <w:rPr>
          <w:color w:val="000000"/>
        </w:rPr>
        <w:t xml:space="preserve">; </w:t>
      </w:r>
      <w:r w:rsidRPr="004504CF">
        <w:rPr>
          <w:b/>
          <w:color w:val="000000"/>
        </w:rPr>
        <w:t>that there will be efficiency gains that enable more to be achieved with available resources</w:t>
      </w:r>
      <w:r w:rsidRPr="004504CF">
        <w:rPr>
          <w:color w:val="000000"/>
        </w:rPr>
        <w:t xml:space="preserve">; </w:t>
      </w:r>
    </w:p>
    <w:p w14:paraId="2028B540" w14:textId="77777777" w:rsidR="00B00FFF" w:rsidRPr="004504CF" w:rsidRDefault="00B00FFF" w:rsidP="005D62F3">
      <w:pPr>
        <w:pStyle w:val="ListParagraph"/>
        <w:numPr>
          <w:ilvl w:val="0"/>
          <w:numId w:val="3"/>
        </w:numPr>
      </w:pPr>
      <w:r w:rsidRPr="004504CF">
        <w:t>In the section “what is NSDSIII” there is a statement that it is a framework. This is explained by stating that funding is to be allocated according to the strategy; PIVOTAL programmes will be prioritised; TVET revitalisation will be enabled; small enterprise development will be achieved; partnerships will be developed that address cross-sectoral needs; rural development will be achieved. These can be understood as broad themes that inform the thinking behind NSDSIII.</w:t>
      </w:r>
    </w:p>
    <w:p w14:paraId="54BE1D1C" w14:textId="77777777" w:rsidR="00B00FFF" w:rsidRPr="004504CF" w:rsidRDefault="00B00FFF" w:rsidP="005D62F3">
      <w:pPr>
        <w:pStyle w:val="ListParagraph"/>
        <w:numPr>
          <w:ilvl w:val="0"/>
          <w:numId w:val="3"/>
        </w:numPr>
      </w:pPr>
      <w:r w:rsidRPr="004504CF">
        <w:t xml:space="preserve">In the text explaining the goals there are a number of commitments, including: to conduct research into college strengths and weaknesses; to upgrade college lecturers; </w:t>
      </w:r>
      <w:r w:rsidRPr="004504CF">
        <w:lastRenderedPageBreak/>
        <w:t xml:space="preserve">improving coordination of support to coops including the establishment via DTI of a training academy; skills planning and implementation arrangement for the public service to be reviewed by relevant departments; the role of government and government entities in the supply of skills to be expanded. The assumption underpinning these commitments is </w:t>
      </w:r>
      <w:r w:rsidRPr="004504CF">
        <w:rPr>
          <w:b/>
        </w:rPr>
        <w:t>that there will be improved coordination across and between government departments to ensure that skills development and other interventions support each other to achieve wider goals</w:t>
      </w:r>
      <w:r w:rsidRPr="004504CF">
        <w:t xml:space="preserve">. </w:t>
      </w:r>
    </w:p>
    <w:p w14:paraId="1C6F923E" w14:textId="77777777" w:rsidR="00B00FFF" w:rsidRPr="004504CF" w:rsidRDefault="00B00FFF" w:rsidP="005D62F3">
      <w:pPr>
        <w:pStyle w:val="ListParagraph"/>
        <w:numPr>
          <w:ilvl w:val="0"/>
          <w:numId w:val="3"/>
        </w:numPr>
      </w:pPr>
      <w:r w:rsidRPr="004504CF">
        <w:t xml:space="preserve">In the section on skills institutions it is stated that DHET will put in place measures to improve performance (of the SETAs and the NSF), reduce waste and make them more effective; to improve financial performance; implement shared services; NSF will align its spending to government priorities including those for the economy, science and technology and the Green Economy. One assumption behind these is </w:t>
      </w:r>
      <w:r w:rsidRPr="004504CF">
        <w:rPr>
          <w:b/>
        </w:rPr>
        <w:t>that the SETAs and the NSF will be reformed, given clearer focus and will become more efficient and effective</w:t>
      </w:r>
      <w:r w:rsidRPr="004504CF">
        <w:t xml:space="preserve">. A second assumption is </w:t>
      </w:r>
      <w:r w:rsidRPr="004504CF">
        <w:rPr>
          <w:b/>
        </w:rPr>
        <w:t xml:space="preserve">that SETAs and the NSF will align their work with wider government priorities and programmes </w:t>
      </w:r>
      <w:r w:rsidRPr="004504CF">
        <w:t xml:space="preserve">- </w:t>
      </w:r>
      <w:r w:rsidRPr="004504CF">
        <w:rPr>
          <w:b/>
        </w:rPr>
        <w:t>the Green economy being an example of something all SETAs will be required to address</w:t>
      </w:r>
      <w:r w:rsidRPr="004504CF">
        <w:t xml:space="preserve">. </w:t>
      </w:r>
    </w:p>
    <w:p w14:paraId="7F4A0A8B" w14:textId="77777777" w:rsidR="00B00FFF" w:rsidRPr="004504CF" w:rsidRDefault="00B00FFF" w:rsidP="005D62F3">
      <w:pPr>
        <w:pStyle w:val="ListParagraph"/>
        <w:numPr>
          <w:ilvl w:val="0"/>
          <w:numId w:val="3"/>
        </w:numPr>
      </w:pPr>
      <w:r w:rsidRPr="004504CF">
        <w:t>In a section on partnerships the need for a range of partnerships is flagged. The assumption is that partnerships will be developed to support NSDS implementation, both between SETAs, between the public and private sector, and within the post school education and training system.</w:t>
      </w:r>
    </w:p>
    <w:p w14:paraId="56837546" w14:textId="77777777" w:rsidR="00B00FFF" w:rsidRPr="004504CF" w:rsidRDefault="00B00FFF" w:rsidP="005D62F3">
      <w:pPr>
        <w:pStyle w:val="ListParagraph"/>
        <w:numPr>
          <w:ilvl w:val="0"/>
          <w:numId w:val="3"/>
        </w:numPr>
      </w:pPr>
      <w:r w:rsidRPr="004504CF">
        <w:t xml:space="preserve">In the section on implementation the clear assumption is that all stakeholders and role-players will collaborate to collectively implement the strategy.  </w:t>
      </w:r>
    </w:p>
    <w:p w14:paraId="0C36E529" w14:textId="77777777" w:rsidR="00B00FFF" w:rsidRPr="004504CF" w:rsidRDefault="00B00FFF" w:rsidP="005D62F3">
      <w:pPr>
        <w:pStyle w:val="ListParagraph"/>
        <w:numPr>
          <w:ilvl w:val="0"/>
          <w:numId w:val="3"/>
        </w:numPr>
      </w:pPr>
      <w:r w:rsidRPr="004504CF">
        <w:t xml:space="preserve">There is a section on Monitoring and Evaluation that commits the Department and SETAs to putting in place an effective M&amp;E framework and system. The assumption is </w:t>
      </w:r>
      <w:r w:rsidRPr="004504CF">
        <w:rPr>
          <w:b/>
        </w:rPr>
        <w:t>that there will be monitoring of progress and that corrective action will be taken where parts of NSDSIII are not being achieved</w:t>
      </w:r>
      <w:r w:rsidRPr="004504CF">
        <w:t xml:space="preserve">. </w:t>
      </w:r>
    </w:p>
    <w:p w14:paraId="126E7B9B" w14:textId="14E46DDD" w:rsidR="00B00FFF" w:rsidRPr="008D6B33" w:rsidRDefault="00B00FFF" w:rsidP="0079651A">
      <w:pPr>
        <w:spacing w:line="360" w:lineRule="auto"/>
        <w:rPr>
          <w:rFonts w:ascii="Times New Roman" w:hAnsi="Times New Roman" w:cs="Times New Roman"/>
        </w:rPr>
      </w:pPr>
      <w:r w:rsidRPr="00F409EB">
        <w:rPr>
          <w:rFonts w:ascii="Times New Roman" w:hAnsi="Times New Roman" w:cs="Times New Roman"/>
          <w:lang w:val="en-GB"/>
        </w:rPr>
        <w:t>The above assumptions will need to be tested and measured as part of the evaluati</w:t>
      </w:r>
      <w:r w:rsidR="0079651A">
        <w:rPr>
          <w:rFonts w:ascii="Times New Roman" w:hAnsi="Times New Roman" w:cs="Times New Roman"/>
          <w:lang w:val="en-GB"/>
        </w:rPr>
        <w:t>on.</w:t>
      </w:r>
      <w:r w:rsidR="0079651A" w:rsidRPr="008D6B33">
        <w:rPr>
          <w:rFonts w:ascii="Times New Roman" w:hAnsi="Times New Roman" w:cs="Times New Roman"/>
        </w:rPr>
        <w:t xml:space="preserve"> </w:t>
      </w:r>
    </w:p>
    <w:sectPr w:rsidR="00B00FFF" w:rsidRPr="008D6B33" w:rsidSect="00F409EB">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A01E3F" w14:textId="77777777" w:rsidR="006F601A" w:rsidRDefault="006F601A">
      <w:pPr>
        <w:spacing w:before="0" w:after="0" w:line="240" w:lineRule="auto"/>
      </w:pPr>
      <w:r>
        <w:separator/>
      </w:r>
    </w:p>
  </w:endnote>
  <w:endnote w:type="continuationSeparator" w:id="0">
    <w:p w14:paraId="6F1767E5" w14:textId="77777777" w:rsidR="006F601A" w:rsidRDefault="006F601A">
      <w:pPr>
        <w:spacing w:before="0" w:after="0" w:line="240" w:lineRule="auto"/>
      </w:pPr>
      <w:r>
        <w:continuationSeparator/>
      </w:r>
    </w:p>
  </w:endnote>
  <w:endnote w:type="continuationNotice" w:id="1">
    <w:p w14:paraId="57B8034D" w14:textId="77777777" w:rsidR="006F601A" w:rsidRDefault="006F601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10022FF" w:usb1="C000E47F" w:usb2="00000029" w:usb3="00000000" w:csb0="000001DF" w:csb1="00000000"/>
  </w:font>
  <w:font w:name="Calibri (Body)">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1DE80" w14:textId="77777777" w:rsidR="006255BE" w:rsidRDefault="006255BE" w:rsidP="00086BE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41A966" w14:textId="77777777" w:rsidR="006255BE" w:rsidRDefault="006255BE" w:rsidP="00086BE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E5D65" w14:textId="77777777" w:rsidR="006255BE" w:rsidRDefault="006255BE" w:rsidP="00086BE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03EB">
      <w:rPr>
        <w:rStyle w:val="PageNumber"/>
        <w:noProof/>
      </w:rPr>
      <w:t>11</w:t>
    </w:r>
    <w:r>
      <w:rPr>
        <w:rStyle w:val="PageNumber"/>
      </w:rPr>
      <w:fldChar w:fldCharType="end"/>
    </w:r>
  </w:p>
  <w:p w14:paraId="06B1EDEC" w14:textId="77777777" w:rsidR="006255BE" w:rsidRDefault="006255BE" w:rsidP="00086BE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1428FC" w14:textId="77777777" w:rsidR="006F601A" w:rsidRDefault="006F601A">
      <w:pPr>
        <w:spacing w:before="0" w:after="0" w:line="240" w:lineRule="auto"/>
      </w:pPr>
      <w:r>
        <w:separator/>
      </w:r>
    </w:p>
  </w:footnote>
  <w:footnote w:type="continuationSeparator" w:id="0">
    <w:p w14:paraId="0890990B" w14:textId="77777777" w:rsidR="006F601A" w:rsidRDefault="006F601A">
      <w:pPr>
        <w:spacing w:before="0" w:after="0" w:line="240" w:lineRule="auto"/>
      </w:pPr>
      <w:r>
        <w:continuationSeparator/>
      </w:r>
    </w:p>
  </w:footnote>
  <w:footnote w:type="continuationNotice" w:id="1">
    <w:p w14:paraId="34D1498F" w14:textId="77777777" w:rsidR="006F601A" w:rsidRDefault="006F601A">
      <w:pPr>
        <w:spacing w:before="0"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E119E" w14:textId="77777777" w:rsidR="006255BE" w:rsidRDefault="006255BE" w:rsidP="0062283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52FC5"/>
    <w:multiLevelType w:val="hybridMultilevel"/>
    <w:tmpl w:val="24EE3EA8"/>
    <w:lvl w:ilvl="0" w:tplc="28EE8280">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9547E8F"/>
    <w:multiLevelType w:val="multilevel"/>
    <w:tmpl w:val="26E6C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34B275A"/>
    <w:multiLevelType w:val="hybridMultilevel"/>
    <w:tmpl w:val="D3C84C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3B041C9"/>
    <w:multiLevelType w:val="hybridMultilevel"/>
    <w:tmpl w:val="ED406D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E7205AA"/>
    <w:multiLevelType w:val="hybridMultilevel"/>
    <w:tmpl w:val="EB163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6D65CF"/>
    <w:multiLevelType w:val="multilevel"/>
    <w:tmpl w:val="170A1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4B36844"/>
    <w:multiLevelType w:val="hybridMultilevel"/>
    <w:tmpl w:val="30C08686"/>
    <w:lvl w:ilvl="0" w:tplc="22B24796">
      <w:start w:val="1"/>
      <w:numFmt w:val="bullet"/>
      <w:pStyle w:val="ListParagraph"/>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50E1D21"/>
    <w:multiLevelType w:val="hybridMultilevel"/>
    <w:tmpl w:val="669862BA"/>
    <w:lvl w:ilvl="0" w:tplc="5CB4FC2A">
      <w:numFmt w:val="bullet"/>
      <w:lvlText w:val="•"/>
      <w:lvlJc w:val="left"/>
      <w:pPr>
        <w:ind w:left="720" w:hanging="36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680092C"/>
    <w:multiLevelType w:val="hybridMultilevel"/>
    <w:tmpl w:val="EBD022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6C293F"/>
    <w:multiLevelType w:val="hybridMultilevel"/>
    <w:tmpl w:val="232E00FC"/>
    <w:lvl w:ilvl="0" w:tplc="1FC63406">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41C14401"/>
    <w:multiLevelType w:val="hybridMultilevel"/>
    <w:tmpl w:val="CC3461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702A39"/>
    <w:multiLevelType w:val="multilevel"/>
    <w:tmpl w:val="FA02A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99E0345"/>
    <w:multiLevelType w:val="hybridMultilevel"/>
    <w:tmpl w:val="B56EE842"/>
    <w:lvl w:ilvl="0" w:tplc="C406A6D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BC42CA"/>
    <w:multiLevelType w:val="multilevel"/>
    <w:tmpl w:val="DE2AA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0EF191B"/>
    <w:multiLevelType w:val="multilevel"/>
    <w:tmpl w:val="99E09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4835E97"/>
    <w:multiLevelType w:val="hybridMultilevel"/>
    <w:tmpl w:val="079EBBA2"/>
    <w:lvl w:ilvl="0" w:tplc="D14836A6">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5DD041D5"/>
    <w:multiLevelType w:val="hybridMultilevel"/>
    <w:tmpl w:val="86CEF34C"/>
    <w:lvl w:ilvl="0" w:tplc="47420362">
      <w:start w:val="1"/>
      <w:numFmt w:val="bullet"/>
      <w:pStyle w:val="ListParagraph1"/>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6466724A"/>
    <w:multiLevelType w:val="hybridMultilevel"/>
    <w:tmpl w:val="C4D4AB22"/>
    <w:lvl w:ilvl="0" w:tplc="A25E973C">
      <w:start w:val="1"/>
      <w:numFmt w:val="bullet"/>
      <w:lvlText w:val="•"/>
      <w:lvlJc w:val="left"/>
      <w:pPr>
        <w:tabs>
          <w:tab w:val="num" w:pos="720"/>
        </w:tabs>
        <w:ind w:left="720" w:hanging="360"/>
      </w:pPr>
      <w:rPr>
        <w:rFonts w:ascii="Times New Roman" w:hAnsi="Times New Roman" w:hint="default"/>
      </w:rPr>
    </w:lvl>
    <w:lvl w:ilvl="1" w:tplc="5DE8FC3E" w:tentative="1">
      <w:start w:val="1"/>
      <w:numFmt w:val="bullet"/>
      <w:lvlText w:val="•"/>
      <w:lvlJc w:val="left"/>
      <w:pPr>
        <w:tabs>
          <w:tab w:val="num" w:pos="1440"/>
        </w:tabs>
        <w:ind w:left="1440" w:hanging="360"/>
      </w:pPr>
      <w:rPr>
        <w:rFonts w:ascii="Times New Roman" w:hAnsi="Times New Roman" w:hint="default"/>
      </w:rPr>
    </w:lvl>
    <w:lvl w:ilvl="2" w:tplc="6A12A1A0" w:tentative="1">
      <w:start w:val="1"/>
      <w:numFmt w:val="bullet"/>
      <w:lvlText w:val="•"/>
      <w:lvlJc w:val="left"/>
      <w:pPr>
        <w:tabs>
          <w:tab w:val="num" w:pos="2160"/>
        </w:tabs>
        <w:ind w:left="2160" w:hanging="360"/>
      </w:pPr>
      <w:rPr>
        <w:rFonts w:ascii="Times New Roman" w:hAnsi="Times New Roman" w:hint="default"/>
      </w:rPr>
    </w:lvl>
    <w:lvl w:ilvl="3" w:tplc="16725828" w:tentative="1">
      <w:start w:val="1"/>
      <w:numFmt w:val="bullet"/>
      <w:lvlText w:val="•"/>
      <w:lvlJc w:val="left"/>
      <w:pPr>
        <w:tabs>
          <w:tab w:val="num" w:pos="2880"/>
        </w:tabs>
        <w:ind w:left="2880" w:hanging="360"/>
      </w:pPr>
      <w:rPr>
        <w:rFonts w:ascii="Times New Roman" w:hAnsi="Times New Roman" w:hint="default"/>
      </w:rPr>
    </w:lvl>
    <w:lvl w:ilvl="4" w:tplc="629A3B02" w:tentative="1">
      <w:start w:val="1"/>
      <w:numFmt w:val="bullet"/>
      <w:lvlText w:val="•"/>
      <w:lvlJc w:val="left"/>
      <w:pPr>
        <w:tabs>
          <w:tab w:val="num" w:pos="3600"/>
        </w:tabs>
        <w:ind w:left="3600" w:hanging="360"/>
      </w:pPr>
      <w:rPr>
        <w:rFonts w:ascii="Times New Roman" w:hAnsi="Times New Roman" w:hint="default"/>
      </w:rPr>
    </w:lvl>
    <w:lvl w:ilvl="5" w:tplc="0D224FEC" w:tentative="1">
      <w:start w:val="1"/>
      <w:numFmt w:val="bullet"/>
      <w:lvlText w:val="•"/>
      <w:lvlJc w:val="left"/>
      <w:pPr>
        <w:tabs>
          <w:tab w:val="num" w:pos="4320"/>
        </w:tabs>
        <w:ind w:left="4320" w:hanging="360"/>
      </w:pPr>
      <w:rPr>
        <w:rFonts w:ascii="Times New Roman" w:hAnsi="Times New Roman" w:hint="default"/>
      </w:rPr>
    </w:lvl>
    <w:lvl w:ilvl="6" w:tplc="A7085676" w:tentative="1">
      <w:start w:val="1"/>
      <w:numFmt w:val="bullet"/>
      <w:lvlText w:val="•"/>
      <w:lvlJc w:val="left"/>
      <w:pPr>
        <w:tabs>
          <w:tab w:val="num" w:pos="5040"/>
        </w:tabs>
        <w:ind w:left="5040" w:hanging="360"/>
      </w:pPr>
      <w:rPr>
        <w:rFonts w:ascii="Times New Roman" w:hAnsi="Times New Roman" w:hint="default"/>
      </w:rPr>
    </w:lvl>
    <w:lvl w:ilvl="7" w:tplc="87AAE3A0" w:tentative="1">
      <w:start w:val="1"/>
      <w:numFmt w:val="bullet"/>
      <w:lvlText w:val="•"/>
      <w:lvlJc w:val="left"/>
      <w:pPr>
        <w:tabs>
          <w:tab w:val="num" w:pos="5760"/>
        </w:tabs>
        <w:ind w:left="5760" w:hanging="360"/>
      </w:pPr>
      <w:rPr>
        <w:rFonts w:ascii="Times New Roman" w:hAnsi="Times New Roman" w:hint="default"/>
      </w:rPr>
    </w:lvl>
    <w:lvl w:ilvl="8" w:tplc="17C69074"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8CE6AEC"/>
    <w:multiLevelType w:val="hybridMultilevel"/>
    <w:tmpl w:val="17824938"/>
    <w:lvl w:ilvl="0" w:tplc="6DE45544">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6915261A"/>
    <w:multiLevelType w:val="hybridMultilevel"/>
    <w:tmpl w:val="9EAC9E74"/>
    <w:lvl w:ilvl="0" w:tplc="3D9270F0">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6A811DDC"/>
    <w:multiLevelType w:val="hybridMultilevel"/>
    <w:tmpl w:val="3170E46C"/>
    <w:lvl w:ilvl="0" w:tplc="BB8C92AE">
      <w:start w:val="1"/>
      <w:numFmt w:val="bullet"/>
      <w:lvlText w:val=""/>
      <w:lvlJc w:val="left"/>
      <w:pPr>
        <w:ind w:left="1069" w:hanging="360"/>
      </w:pPr>
      <w:rPr>
        <w:rFonts w:ascii="Symbol" w:hAnsi="Symbol" w:hint="default"/>
      </w:rPr>
    </w:lvl>
    <w:lvl w:ilvl="1" w:tplc="1C090003" w:tentative="1">
      <w:start w:val="1"/>
      <w:numFmt w:val="bullet"/>
      <w:lvlText w:val="o"/>
      <w:lvlJc w:val="left"/>
      <w:pPr>
        <w:ind w:left="1494" w:hanging="360"/>
      </w:pPr>
      <w:rPr>
        <w:rFonts w:ascii="Courier New" w:hAnsi="Courier New" w:cs="Courier New" w:hint="default"/>
      </w:rPr>
    </w:lvl>
    <w:lvl w:ilvl="2" w:tplc="1C090005" w:tentative="1">
      <w:start w:val="1"/>
      <w:numFmt w:val="bullet"/>
      <w:lvlText w:val=""/>
      <w:lvlJc w:val="left"/>
      <w:pPr>
        <w:ind w:left="2214" w:hanging="360"/>
      </w:pPr>
      <w:rPr>
        <w:rFonts w:ascii="Wingdings" w:hAnsi="Wingdings" w:hint="default"/>
      </w:rPr>
    </w:lvl>
    <w:lvl w:ilvl="3" w:tplc="1C090001" w:tentative="1">
      <w:start w:val="1"/>
      <w:numFmt w:val="bullet"/>
      <w:lvlText w:val=""/>
      <w:lvlJc w:val="left"/>
      <w:pPr>
        <w:ind w:left="2934" w:hanging="360"/>
      </w:pPr>
      <w:rPr>
        <w:rFonts w:ascii="Symbol" w:hAnsi="Symbol" w:hint="default"/>
      </w:rPr>
    </w:lvl>
    <w:lvl w:ilvl="4" w:tplc="1C090003" w:tentative="1">
      <w:start w:val="1"/>
      <w:numFmt w:val="bullet"/>
      <w:lvlText w:val="o"/>
      <w:lvlJc w:val="left"/>
      <w:pPr>
        <w:ind w:left="3654" w:hanging="360"/>
      </w:pPr>
      <w:rPr>
        <w:rFonts w:ascii="Courier New" w:hAnsi="Courier New" w:cs="Courier New" w:hint="default"/>
      </w:rPr>
    </w:lvl>
    <w:lvl w:ilvl="5" w:tplc="1C090005" w:tentative="1">
      <w:start w:val="1"/>
      <w:numFmt w:val="bullet"/>
      <w:lvlText w:val=""/>
      <w:lvlJc w:val="left"/>
      <w:pPr>
        <w:ind w:left="4374" w:hanging="360"/>
      </w:pPr>
      <w:rPr>
        <w:rFonts w:ascii="Wingdings" w:hAnsi="Wingdings" w:hint="default"/>
      </w:rPr>
    </w:lvl>
    <w:lvl w:ilvl="6" w:tplc="1C090001" w:tentative="1">
      <w:start w:val="1"/>
      <w:numFmt w:val="bullet"/>
      <w:lvlText w:val=""/>
      <w:lvlJc w:val="left"/>
      <w:pPr>
        <w:ind w:left="5094" w:hanging="360"/>
      </w:pPr>
      <w:rPr>
        <w:rFonts w:ascii="Symbol" w:hAnsi="Symbol" w:hint="default"/>
      </w:rPr>
    </w:lvl>
    <w:lvl w:ilvl="7" w:tplc="1C090003" w:tentative="1">
      <w:start w:val="1"/>
      <w:numFmt w:val="bullet"/>
      <w:lvlText w:val="o"/>
      <w:lvlJc w:val="left"/>
      <w:pPr>
        <w:ind w:left="5814" w:hanging="360"/>
      </w:pPr>
      <w:rPr>
        <w:rFonts w:ascii="Courier New" w:hAnsi="Courier New" w:cs="Courier New" w:hint="default"/>
      </w:rPr>
    </w:lvl>
    <w:lvl w:ilvl="8" w:tplc="1C090005" w:tentative="1">
      <w:start w:val="1"/>
      <w:numFmt w:val="bullet"/>
      <w:lvlText w:val=""/>
      <w:lvlJc w:val="left"/>
      <w:pPr>
        <w:ind w:left="6534" w:hanging="360"/>
      </w:pPr>
      <w:rPr>
        <w:rFonts w:ascii="Wingdings" w:hAnsi="Wingdings" w:hint="default"/>
      </w:rPr>
    </w:lvl>
  </w:abstractNum>
  <w:num w:numId="1">
    <w:abstractNumId w:val="12"/>
  </w:num>
  <w:num w:numId="2">
    <w:abstractNumId w:val="8"/>
  </w:num>
  <w:num w:numId="3">
    <w:abstractNumId w:val="10"/>
  </w:num>
  <w:num w:numId="4">
    <w:abstractNumId w:val="4"/>
  </w:num>
  <w:num w:numId="5">
    <w:abstractNumId w:val="17"/>
  </w:num>
  <w:num w:numId="6">
    <w:abstractNumId w:val="1"/>
  </w:num>
  <w:num w:numId="7">
    <w:abstractNumId w:val="13"/>
  </w:num>
  <w:num w:numId="8">
    <w:abstractNumId w:val="11"/>
  </w:num>
  <w:num w:numId="9">
    <w:abstractNumId w:val="14"/>
  </w:num>
  <w:num w:numId="10">
    <w:abstractNumId w:val="5"/>
  </w:num>
  <w:num w:numId="11">
    <w:abstractNumId w:val="19"/>
  </w:num>
  <w:num w:numId="12">
    <w:abstractNumId w:val="16"/>
  </w:num>
  <w:num w:numId="13">
    <w:abstractNumId w:val="3"/>
  </w:num>
  <w:num w:numId="14">
    <w:abstractNumId w:val="20"/>
  </w:num>
  <w:num w:numId="15">
    <w:abstractNumId w:val="2"/>
  </w:num>
  <w:num w:numId="16">
    <w:abstractNumId w:val="18"/>
  </w:num>
  <w:num w:numId="17">
    <w:abstractNumId w:val="9"/>
  </w:num>
  <w:num w:numId="18">
    <w:abstractNumId w:val="0"/>
  </w:num>
  <w:num w:numId="19">
    <w:abstractNumId w:val="15"/>
  </w:num>
  <w:num w:numId="20">
    <w:abstractNumId w:val="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2t5vtdw2f5waze9z25pzzv3d0dr0eaapdez&quot;&gt;NSDSIII&lt;record-ids&gt;&lt;item&gt;10&lt;/item&gt;&lt;item&gt;12&lt;/item&gt;&lt;item&gt;13&lt;/item&gt;&lt;item&gt;21&lt;/item&gt;&lt;item&gt;24&lt;/item&gt;&lt;item&gt;25&lt;/item&gt;&lt;item&gt;32&lt;/item&gt;&lt;item&gt;34&lt;/item&gt;&lt;item&gt;36&lt;/item&gt;&lt;item&gt;38&lt;/item&gt;&lt;item&gt;39&lt;/item&gt;&lt;item&gt;40&lt;/item&gt;&lt;item&gt;41&lt;/item&gt;&lt;item&gt;42&lt;/item&gt;&lt;item&gt;43&lt;/item&gt;&lt;item&gt;45&lt;/item&gt;&lt;item&gt;46&lt;/item&gt;&lt;item&gt;47&lt;/item&gt;&lt;item&gt;48&lt;/item&gt;&lt;item&gt;49&lt;/item&gt;&lt;item&gt;50&lt;/item&gt;&lt;item&gt;53&lt;/item&gt;&lt;item&gt;54&lt;/item&gt;&lt;item&gt;55&lt;/item&gt;&lt;item&gt;56&lt;/item&gt;&lt;item&gt;57&lt;/item&gt;&lt;item&gt;58&lt;/item&gt;&lt;/record-ids&gt;&lt;/item&gt;&lt;/Libraries&gt;"/>
  </w:docVars>
  <w:rsids>
    <w:rsidRoot w:val="007137BD"/>
    <w:rsid w:val="000035F2"/>
    <w:rsid w:val="000067C1"/>
    <w:rsid w:val="00013EF5"/>
    <w:rsid w:val="00026B62"/>
    <w:rsid w:val="000325F1"/>
    <w:rsid w:val="000338C3"/>
    <w:rsid w:val="000434BA"/>
    <w:rsid w:val="00052FEC"/>
    <w:rsid w:val="0005440B"/>
    <w:rsid w:val="00060183"/>
    <w:rsid w:val="000658D9"/>
    <w:rsid w:val="00081D57"/>
    <w:rsid w:val="000831B2"/>
    <w:rsid w:val="000842B7"/>
    <w:rsid w:val="00086BEB"/>
    <w:rsid w:val="000B2759"/>
    <w:rsid w:val="000C70B2"/>
    <w:rsid w:val="000D6228"/>
    <w:rsid w:val="0010440C"/>
    <w:rsid w:val="00106299"/>
    <w:rsid w:val="00127B45"/>
    <w:rsid w:val="0013484F"/>
    <w:rsid w:val="00147222"/>
    <w:rsid w:val="00167368"/>
    <w:rsid w:val="00172403"/>
    <w:rsid w:val="0017314E"/>
    <w:rsid w:val="001813B9"/>
    <w:rsid w:val="00193023"/>
    <w:rsid w:val="001C5EAA"/>
    <w:rsid w:val="001E0622"/>
    <w:rsid w:val="001E069B"/>
    <w:rsid w:val="00232E7F"/>
    <w:rsid w:val="00261C04"/>
    <w:rsid w:val="00275492"/>
    <w:rsid w:val="002767C4"/>
    <w:rsid w:val="002851CC"/>
    <w:rsid w:val="002A2033"/>
    <w:rsid w:val="002E4CB1"/>
    <w:rsid w:val="002E4DD3"/>
    <w:rsid w:val="00317633"/>
    <w:rsid w:val="00334CA9"/>
    <w:rsid w:val="0033567A"/>
    <w:rsid w:val="00337DFA"/>
    <w:rsid w:val="0035362A"/>
    <w:rsid w:val="0036122E"/>
    <w:rsid w:val="00373464"/>
    <w:rsid w:val="00380AFA"/>
    <w:rsid w:val="00391B91"/>
    <w:rsid w:val="003950C8"/>
    <w:rsid w:val="003C49D1"/>
    <w:rsid w:val="003C5945"/>
    <w:rsid w:val="003F100C"/>
    <w:rsid w:val="003F6BED"/>
    <w:rsid w:val="00425258"/>
    <w:rsid w:val="004313CC"/>
    <w:rsid w:val="0043287D"/>
    <w:rsid w:val="0043592C"/>
    <w:rsid w:val="004415B5"/>
    <w:rsid w:val="004504CF"/>
    <w:rsid w:val="004549BA"/>
    <w:rsid w:val="0045693D"/>
    <w:rsid w:val="00457BEB"/>
    <w:rsid w:val="00460E99"/>
    <w:rsid w:val="004628F9"/>
    <w:rsid w:val="00462D25"/>
    <w:rsid w:val="004A40AA"/>
    <w:rsid w:val="004B0E3A"/>
    <w:rsid w:val="004C6F98"/>
    <w:rsid w:val="004D2475"/>
    <w:rsid w:val="004D32A0"/>
    <w:rsid w:val="004D5BD7"/>
    <w:rsid w:val="004E7966"/>
    <w:rsid w:val="004F6E3D"/>
    <w:rsid w:val="00502D6D"/>
    <w:rsid w:val="005056E8"/>
    <w:rsid w:val="00510958"/>
    <w:rsid w:val="0051693A"/>
    <w:rsid w:val="005421D6"/>
    <w:rsid w:val="005522C1"/>
    <w:rsid w:val="00560C4F"/>
    <w:rsid w:val="00565204"/>
    <w:rsid w:val="005737A6"/>
    <w:rsid w:val="00591D8B"/>
    <w:rsid w:val="005A2DE8"/>
    <w:rsid w:val="005A7096"/>
    <w:rsid w:val="005B089C"/>
    <w:rsid w:val="005C2EAC"/>
    <w:rsid w:val="005C384E"/>
    <w:rsid w:val="005D62F3"/>
    <w:rsid w:val="005E33FA"/>
    <w:rsid w:val="005F29A7"/>
    <w:rsid w:val="005F39EB"/>
    <w:rsid w:val="005F612E"/>
    <w:rsid w:val="00622839"/>
    <w:rsid w:val="006255BE"/>
    <w:rsid w:val="00627799"/>
    <w:rsid w:val="00641F7B"/>
    <w:rsid w:val="00653616"/>
    <w:rsid w:val="00653992"/>
    <w:rsid w:val="0066142D"/>
    <w:rsid w:val="00676AE2"/>
    <w:rsid w:val="00685D26"/>
    <w:rsid w:val="006A03EB"/>
    <w:rsid w:val="006B0DC0"/>
    <w:rsid w:val="006C5E82"/>
    <w:rsid w:val="006C67BB"/>
    <w:rsid w:val="006D1F4C"/>
    <w:rsid w:val="006E4549"/>
    <w:rsid w:val="006E4C6B"/>
    <w:rsid w:val="006E4C72"/>
    <w:rsid w:val="006E55C5"/>
    <w:rsid w:val="006F601A"/>
    <w:rsid w:val="006F6A99"/>
    <w:rsid w:val="00702D7B"/>
    <w:rsid w:val="00705E98"/>
    <w:rsid w:val="007137BD"/>
    <w:rsid w:val="00732E4C"/>
    <w:rsid w:val="00735E74"/>
    <w:rsid w:val="00740288"/>
    <w:rsid w:val="007469A8"/>
    <w:rsid w:val="007517F1"/>
    <w:rsid w:val="007642A2"/>
    <w:rsid w:val="00777461"/>
    <w:rsid w:val="00786B4F"/>
    <w:rsid w:val="007918A1"/>
    <w:rsid w:val="0079651A"/>
    <w:rsid w:val="007A7AF9"/>
    <w:rsid w:val="007B4A3D"/>
    <w:rsid w:val="007C007C"/>
    <w:rsid w:val="007C4802"/>
    <w:rsid w:val="007C62C1"/>
    <w:rsid w:val="007D7847"/>
    <w:rsid w:val="007E1E6B"/>
    <w:rsid w:val="007E386B"/>
    <w:rsid w:val="007E7357"/>
    <w:rsid w:val="00807470"/>
    <w:rsid w:val="008222E0"/>
    <w:rsid w:val="00824318"/>
    <w:rsid w:val="00832C30"/>
    <w:rsid w:val="0083598A"/>
    <w:rsid w:val="0084600A"/>
    <w:rsid w:val="00846013"/>
    <w:rsid w:val="00852892"/>
    <w:rsid w:val="008812F1"/>
    <w:rsid w:val="008C0865"/>
    <w:rsid w:val="008C17B3"/>
    <w:rsid w:val="008C227D"/>
    <w:rsid w:val="008C560C"/>
    <w:rsid w:val="008D6B33"/>
    <w:rsid w:val="008E1C2B"/>
    <w:rsid w:val="00902BAF"/>
    <w:rsid w:val="00916175"/>
    <w:rsid w:val="00925668"/>
    <w:rsid w:val="0093037C"/>
    <w:rsid w:val="0093754B"/>
    <w:rsid w:val="00950180"/>
    <w:rsid w:val="0095687E"/>
    <w:rsid w:val="00962779"/>
    <w:rsid w:val="00965F4C"/>
    <w:rsid w:val="0098216C"/>
    <w:rsid w:val="00985DA2"/>
    <w:rsid w:val="0099005C"/>
    <w:rsid w:val="0099479D"/>
    <w:rsid w:val="00994DD4"/>
    <w:rsid w:val="009A0410"/>
    <w:rsid w:val="009B1AF3"/>
    <w:rsid w:val="009B565D"/>
    <w:rsid w:val="009C3E5A"/>
    <w:rsid w:val="009D47E8"/>
    <w:rsid w:val="009F2CD3"/>
    <w:rsid w:val="009F354C"/>
    <w:rsid w:val="009F5128"/>
    <w:rsid w:val="00A071C8"/>
    <w:rsid w:val="00A3400E"/>
    <w:rsid w:val="00A81268"/>
    <w:rsid w:val="00A82F7A"/>
    <w:rsid w:val="00A853F4"/>
    <w:rsid w:val="00A933FE"/>
    <w:rsid w:val="00AE3A9C"/>
    <w:rsid w:val="00AF2E5A"/>
    <w:rsid w:val="00B00FFF"/>
    <w:rsid w:val="00B02DE0"/>
    <w:rsid w:val="00B07660"/>
    <w:rsid w:val="00B125EF"/>
    <w:rsid w:val="00B200E6"/>
    <w:rsid w:val="00B45806"/>
    <w:rsid w:val="00B4762B"/>
    <w:rsid w:val="00B5275C"/>
    <w:rsid w:val="00B5588B"/>
    <w:rsid w:val="00B56B89"/>
    <w:rsid w:val="00B873E2"/>
    <w:rsid w:val="00B90185"/>
    <w:rsid w:val="00BA2F00"/>
    <w:rsid w:val="00BA44D6"/>
    <w:rsid w:val="00BB7DEC"/>
    <w:rsid w:val="00BD2BE1"/>
    <w:rsid w:val="00BD4E49"/>
    <w:rsid w:val="00BD59AE"/>
    <w:rsid w:val="00BE7059"/>
    <w:rsid w:val="00BF1F26"/>
    <w:rsid w:val="00BF3954"/>
    <w:rsid w:val="00C017D1"/>
    <w:rsid w:val="00C24556"/>
    <w:rsid w:val="00C3161F"/>
    <w:rsid w:val="00C32E9C"/>
    <w:rsid w:val="00C722AA"/>
    <w:rsid w:val="00C76F66"/>
    <w:rsid w:val="00C92120"/>
    <w:rsid w:val="00C93B7A"/>
    <w:rsid w:val="00CC531E"/>
    <w:rsid w:val="00CC7466"/>
    <w:rsid w:val="00CF4F00"/>
    <w:rsid w:val="00CF66A8"/>
    <w:rsid w:val="00D27168"/>
    <w:rsid w:val="00D43B93"/>
    <w:rsid w:val="00D62D27"/>
    <w:rsid w:val="00D6372C"/>
    <w:rsid w:val="00D70110"/>
    <w:rsid w:val="00D76DAA"/>
    <w:rsid w:val="00D84BFF"/>
    <w:rsid w:val="00D9281C"/>
    <w:rsid w:val="00DB5992"/>
    <w:rsid w:val="00DE614C"/>
    <w:rsid w:val="00DF0F67"/>
    <w:rsid w:val="00DF3FDD"/>
    <w:rsid w:val="00E006CC"/>
    <w:rsid w:val="00E0533D"/>
    <w:rsid w:val="00E21527"/>
    <w:rsid w:val="00E35401"/>
    <w:rsid w:val="00E44112"/>
    <w:rsid w:val="00E77894"/>
    <w:rsid w:val="00E91076"/>
    <w:rsid w:val="00E922BC"/>
    <w:rsid w:val="00EA549E"/>
    <w:rsid w:val="00EA6A3C"/>
    <w:rsid w:val="00EB04E9"/>
    <w:rsid w:val="00EC3A82"/>
    <w:rsid w:val="00EC5753"/>
    <w:rsid w:val="00ED5C7D"/>
    <w:rsid w:val="00ED60DA"/>
    <w:rsid w:val="00EE1571"/>
    <w:rsid w:val="00F10BA7"/>
    <w:rsid w:val="00F409EB"/>
    <w:rsid w:val="00F65AA5"/>
    <w:rsid w:val="00F8253E"/>
    <w:rsid w:val="00F93218"/>
    <w:rsid w:val="00F93AC8"/>
    <w:rsid w:val="00FA6DE5"/>
    <w:rsid w:val="00FB2D10"/>
    <w:rsid w:val="00FB4F1E"/>
    <w:rsid w:val="00FB6932"/>
    <w:rsid w:val="00FD2EA1"/>
    <w:rsid w:val="00FE51B5"/>
    <w:rsid w:val="00FF57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2563E"/>
  <w15:chartTrackingRefBased/>
  <w15:docId w15:val="{14B59733-B185-4A09-8F19-67802BD3A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137BD"/>
    <w:pPr>
      <w:spacing w:before="120" w:after="240" w:line="288" w:lineRule="auto"/>
      <w:jc w:val="both"/>
    </w:pPr>
    <w:rPr>
      <w:rFonts w:eastAsia="Times New Roman" w:cs="Arial"/>
      <w:color w:val="000000" w:themeColor="text1"/>
      <w:spacing w:val="-6"/>
      <w:sz w:val="24"/>
    </w:rPr>
  </w:style>
  <w:style w:type="paragraph" w:styleId="Heading1">
    <w:name w:val="heading 1"/>
    <w:basedOn w:val="Normal"/>
    <w:next w:val="Normal"/>
    <w:link w:val="Heading1Char"/>
    <w:uiPriority w:val="9"/>
    <w:qFormat/>
    <w:rsid w:val="00B00FFF"/>
    <w:pPr>
      <w:keepNext/>
      <w:keepLines/>
      <w:spacing w:before="240" w:after="0"/>
      <w:outlineLvl w:val="0"/>
    </w:pPr>
    <w:rPr>
      <w:rFonts w:asciiTheme="majorHAnsi" w:eastAsiaTheme="majorEastAsia" w:hAnsiTheme="majorHAnsi" w:cstheme="majorBidi"/>
      <w:b/>
      <w:color w:val="auto"/>
      <w:sz w:val="32"/>
      <w:szCs w:val="32"/>
      <w:lang w:val="en-GB"/>
    </w:rPr>
  </w:style>
  <w:style w:type="paragraph" w:styleId="Heading2">
    <w:name w:val="heading 2"/>
    <w:basedOn w:val="Normal"/>
    <w:next w:val="Normal"/>
    <w:link w:val="Heading2Char"/>
    <w:uiPriority w:val="9"/>
    <w:unhideWhenUsed/>
    <w:qFormat/>
    <w:rsid w:val="00B00FFF"/>
    <w:pPr>
      <w:keepNext/>
      <w:keepLines/>
      <w:spacing w:before="40" w:after="0" w:line="360" w:lineRule="auto"/>
      <w:outlineLvl w:val="1"/>
    </w:pPr>
    <w:rPr>
      <w:rFonts w:ascii="Times New Roman" w:eastAsiaTheme="majorEastAsia" w:hAnsi="Times New Roman" w:cs="Times New Roman"/>
      <w:b/>
      <w:szCs w:val="24"/>
      <w:lang w:val="en-GB"/>
    </w:rPr>
  </w:style>
  <w:style w:type="paragraph" w:styleId="Heading3">
    <w:name w:val="heading 3"/>
    <w:basedOn w:val="Normal"/>
    <w:next w:val="Normal"/>
    <w:link w:val="Heading3Char"/>
    <w:uiPriority w:val="9"/>
    <w:unhideWhenUsed/>
    <w:qFormat/>
    <w:rsid w:val="00B00FFF"/>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FFF"/>
    <w:rPr>
      <w:rFonts w:asciiTheme="majorHAnsi" w:eastAsiaTheme="majorEastAsia" w:hAnsiTheme="majorHAnsi" w:cstheme="majorBidi"/>
      <w:b/>
      <w:spacing w:val="-6"/>
      <w:sz w:val="32"/>
      <w:szCs w:val="32"/>
      <w:lang w:val="en-GB"/>
    </w:rPr>
  </w:style>
  <w:style w:type="character" w:customStyle="1" w:styleId="Heading2Char">
    <w:name w:val="Heading 2 Char"/>
    <w:basedOn w:val="DefaultParagraphFont"/>
    <w:link w:val="Heading2"/>
    <w:uiPriority w:val="9"/>
    <w:rsid w:val="00B00FFF"/>
    <w:rPr>
      <w:rFonts w:ascii="Times New Roman" w:eastAsiaTheme="majorEastAsia" w:hAnsi="Times New Roman" w:cs="Times New Roman"/>
      <w:b/>
      <w:color w:val="000000" w:themeColor="text1"/>
      <w:spacing w:val="-6"/>
      <w:sz w:val="24"/>
      <w:szCs w:val="24"/>
      <w:lang w:val="en-GB"/>
    </w:rPr>
  </w:style>
  <w:style w:type="character" w:styleId="CommentReference">
    <w:name w:val="annotation reference"/>
    <w:basedOn w:val="DefaultParagraphFont"/>
    <w:uiPriority w:val="99"/>
    <w:semiHidden/>
    <w:unhideWhenUsed/>
    <w:rsid w:val="00B00FFF"/>
    <w:rPr>
      <w:sz w:val="18"/>
      <w:szCs w:val="18"/>
    </w:rPr>
  </w:style>
  <w:style w:type="paragraph" w:styleId="CommentText">
    <w:name w:val="annotation text"/>
    <w:basedOn w:val="Normal"/>
    <w:link w:val="CommentTextChar"/>
    <w:uiPriority w:val="99"/>
    <w:unhideWhenUsed/>
    <w:rsid w:val="00B00FFF"/>
    <w:pPr>
      <w:spacing w:before="0" w:after="160" w:line="240" w:lineRule="auto"/>
      <w:jc w:val="left"/>
    </w:pPr>
    <w:rPr>
      <w:rFonts w:eastAsiaTheme="minorHAnsi" w:cstheme="minorBidi"/>
      <w:color w:val="auto"/>
      <w:spacing w:val="0"/>
      <w:szCs w:val="24"/>
    </w:rPr>
  </w:style>
  <w:style w:type="character" w:customStyle="1" w:styleId="CommentTextChar">
    <w:name w:val="Comment Text Char"/>
    <w:basedOn w:val="DefaultParagraphFont"/>
    <w:link w:val="CommentText"/>
    <w:uiPriority w:val="99"/>
    <w:rsid w:val="00B00FFF"/>
    <w:rPr>
      <w:sz w:val="24"/>
      <w:szCs w:val="24"/>
    </w:rPr>
  </w:style>
  <w:style w:type="paragraph" w:styleId="BalloonText">
    <w:name w:val="Balloon Text"/>
    <w:basedOn w:val="Normal"/>
    <w:link w:val="BalloonTextChar"/>
    <w:uiPriority w:val="99"/>
    <w:semiHidden/>
    <w:unhideWhenUsed/>
    <w:rsid w:val="00B00FF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FFF"/>
    <w:rPr>
      <w:rFonts w:ascii="Segoe UI" w:eastAsia="Times New Roman" w:hAnsi="Segoe UI" w:cs="Segoe UI"/>
      <w:color w:val="000000" w:themeColor="text1"/>
      <w:spacing w:val="-6"/>
      <w:sz w:val="18"/>
      <w:szCs w:val="18"/>
    </w:rPr>
  </w:style>
  <w:style w:type="paragraph" w:styleId="NormalWeb">
    <w:name w:val="Normal (Web)"/>
    <w:basedOn w:val="Normal"/>
    <w:uiPriority w:val="99"/>
    <w:unhideWhenUsed/>
    <w:rsid w:val="00B00FFF"/>
    <w:pPr>
      <w:spacing w:before="100" w:beforeAutospacing="1" w:after="100" w:afterAutospacing="1" w:line="240" w:lineRule="auto"/>
      <w:jc w:val="left"/>
    </w:pPr>
    <w:rPr>
      <w:rFonts w:ascii="Times New Roman" w:hAnsi="Times New Roman" w:cs="Times New Roman"/>
      <w:color w:val="auto"/>
      <w:spacing w:val="0"/>
      <w:szCs w:val="24"/>
      <w:lang w:eastAsia="en-ZA"/>
    </w:rPr>
  </w:style>
  <w:style w:type="paragraph" w:customStyle="1" w:styleId="Default">
    <w:name w:val="Default"/>
    <w:rsid w:val="00B00FFF"/>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B00FFF"/>
    <w:rPr>
      <w:rFonts w:asciiTheme="majorHAnsi" w:eastAsiaTheme="majorEastAsia" w:hAnsiTheme="majorHAnsi" w:cstheme="majorBidi"/>
      <w:color w:val="1F4D78" w:themeColor="accent1" w:themeShade="7F"/>
      <w:spacing w:val="-6"/>
      <w:sz w:val="24"/>
      <w:szCs w:val="24"/>
    </w:rPr>
  </w:style>
  <w:style w:type="paragraph" w:styleId="ListParagraph">
    <w:name w:val="List Paragraph"/>
    <w:basedOn w:val="Normal"/>
    <w:next w:val="Normal"/>
    <w:link w:val="ListParagraphChar"/>
    <w:autoRedefine/>
    <w:uiPriority w:val="34"/>
    <w:qFormat/>
    <w:rsid w:val="005D62F3"/>
    <w:pPr>
      <w:widowControl w:val="0"/>
      <w:numPr>
        <w:numId w:val="20"/>
      </w:numPr>
      <w:adjustRightInd w:val="0"/>
      <w:spacing w:before="0" w:after="0" w:line="360" w:lineRule="auto"/>
      <w:contextualSpacing/>
    </w:pPr>
    <w:rPr>
      <w:rFonts w:ascii="Times New Roman" w:hAnsi="Times New Roman" w:cs="Times New Roman"/>
      <w:color w:val="auto"/>
      <w:spacing w:val="0"/>
      <w:szCs w:val="24"/>
      <w:lang w:val="en-US"/>
    </w:rPr>
  </w:style>
  <w:style w:type="character" w:customStyle="1" w:styleId="ListParagraphChar">
    <w:name w:val="List Paragraph Char"/>
    <w:link w:val="ListParagraph"/>
    <w:uiPriority w:val="34"/>
    <w:locked/>
    <w:rsid w:val="005D62F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00FF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00FFF"/>
    <w:rPr>
      <w:rFonts w:eastAsia="Times New Roman" w:cs="Arial"/>
      <w:color w:val="000000" w:themeColor="text1"/>
      <w:spacing w:val="-6"/>
      <w:sz w:val="24"/>
    </w:rPr>
  </w:style>
  <w:style w:type="character" w:styleId="PageNumber">
    <w:name w:val="page number"/>
    <w:basedOn w:val="DefaultParagraphFont"/>
    <w:uiPriority w:val="99"/>
    <w:semiHidden/>
    <w:unhideWhenUsed/>
    <w:rsid w:val="00B00FFF"/>
  </w:style>
  <w:style w:type="paragraph" w:styleId="TOCHeading">
    <w:name w:val="TOC Heading"/>
    <w:basedOn w:val="Heading1"/>
    <w:next w:val="Normal"/>
    <w:uiPriority w:val="39"/>
    <w:unhideWhenUsed/>
    <w:qFormat/>
    <w:rsid w:val="00985DA2"/>
    <w:pPr>
      <w:spacing w:line="259" w:lineRule="auto"/>
      <w:jc w:val="left"/>
      <w:outlineLvl w:val="9"/>
    </w:pPr>
    <w:rPr>
      <w:b w:val="0"/>
      <w:color w:val="2E74B5" w:themeColor="accent1" w:themeShade="BF"/>
      <w:spacing w:val="0"/>
      <w:lang w:val="en-US"/>
    </w:rPr>
  </w:style>
  <w:style w:type="paragraph" w:styleId="TOC1">
    <w:name w:val="toc 1"/>
    <w:basedOn w:val="Normal"/>
    <w:next w:val="Normal"/>
    <w:autoRedefine/>
    <w:uiPriority w:val="39"/>
    <w:unhideWhenUsed/>
    <w:rsid w:val="00985DA2"/>
    <w:pPr>
      <w:spacing w:after="100"/>
    </w:pPr>
  </w:style>
  <w:style w:type="paragraph" w:styleId="TOC2">
    <w:name w:val="toc 2"/>
    <w:basedOn w:val="Normal"/>
    <w:next w:val="Normal"/>
    <w:autoRedefine/>
    <w:uiPriority w:val="39"/>
    <w:unhideWhenUsed/>
    <w:rsid w:val="00985DA2"/>
    <w:pPr>
      <w:spacing w:after="100"/>
      <w:ind w:left="240"/>
    </w:pPr>
  </w:style>
  <w:style w:type="paragraph" w:styleId="TOC3">
    <w:name w:val="toc 3"/>
    <w:basedOn w:val="Normal"/>
    <w:next w:val="Normal"/>
    <w:autoRedefine/>
    <w:uiPriority w:val="39"/>
    <w:unhideWhenUsed/>
    <w:rsid w:val="00985DA2"/>
    <w:pPr>
      <w:spacing w:after="100"/>
      <w:ind w:left="480"/>
    </w:pPr>
  </w:style>
  <w:style w:type="character" w:styleId="Hyperlink">
    <w:name w:val="Hyperlink"/>
    <w:basedOn w:val="DefaultParagraphFont"/>
    <w:uiPriority w:val="99"/>
    <w:unhideWhenUsed/>
    <w:rsid w:val="00985DA2"/>
    <w:rPr>
      <w:color w:val="0563C1" w:themeColor="hyperlink"/>
      <w:u w:val="single"/>
    </w:rPr>
  </w:style>
  <w:style w:type="character" w:customStyle="1" w:styleId="apple-converted-space">
    <w:name w:val="apple-converted-space"/>
    <w:basedOn w:val="DefaultParagraphFont"/>
    <w:rsid w:val="006C5E82"/>
  </w:style>
  <w:style w:type="character" w:styleId="Strong">
    <w:name w:val="Strong"/>
    <w:basedOn w:val="DefaultParagraphFont"/>
    <w:uiPriority w:val="22"/>
    <w:qFormat/>
    <w:rsid w:val="006C5E82"/>
    <w:rPr>
      <w:b/>
      <w:bCs/>
    </w:rPr>
  </w:style>
  <w:style w:type="paragraph" w:styleId="CommentSubject">
    <w:name w:val="annotation subject"/>
    <w:basedOn w:val="CommentText"/>
    <w:next w:val="CommentText"/>
    <w:link w:val="CommentSubjectChar"/>
    <w:uiPriority w:val="99"/>
    <w:semiHidden/>
    <w:unhideWhenUsed/>
    <w:rsid w:val="004C6F98"/>
    <w:pPr>
      <w:spacing w:before="120" w:after="240"/>
      <w:jc w:val="both"/>
    </w:pPr>
    <w:rPr>
      <w:rFonts w:eastAsia="Times New Roman" w:cs="Arial"/>
      <w:b/>
      <w:bCs/>
      <w:color w:val="000000" w:themeColor="text1"/>
      <w:spacing w:val="-6"/>
      <w:sz w:val="20"/>
      <w:szCs w:val="20"/>
    </w:rPr>
  </w:style>
  <w:style w:type="character" w:customStyle="1" w:styleId="CommentSubjectChar">
    <w:name w:val="Comment Subject Char"/>
    <w:basedOn w:val="CommentTextChar"/>
    <w:link w:val="CommentSubject"/>
    <w:uiPriority w:val="99"/>
    <w:semiHidden/>
    <w:rsid w:val="004C6F98"/>
    <w:rPr>
      <w:rFonts w:eastAsia="Times New Roman" w:cs="Arial"/>
      <w:b/>
      <w:bCs/>
      <w:color w:val="000000" w:themeColor="text1"/>
      <w:spacing w:val="-6"/>
      <w:sz w:val="20"/>
      <w:szCs w:val="20"/>
    </w:rPr>
  </w:style>
  <w:style w:type="table" w:styleId="TableGrid">
    <w:name w:val="Table Grid"/>
    <w:basedOn w:val="TableNormal"/>
    <w:uiPriority w:val="39"/>
    <w:rsid w:val="003356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autoRedefine/>
    <w:uiPriority w:val="34"/>
    <w:qFormat/>
    <w:rsid w:val="0033567A"/>
    <w:pPr>
      <w:numPr>
        <w:numId w:val="12"/>
      </w:numPr>
      <w:spacing w:before="0" w:after="160" w:line="259" w:lineRule="auto"/>
      <w:ind w:left="227" w:hanging="227"/>
    </w:pPr>
    <w:rPr>
      <w:rFonts w:ascii="Calibri" w:hAnsi="Calibri" w:cs="Times New Roman"/>
      <w:color w:val="auto"/>
      <w:spacing w:val="0"/>
      <w:szCs w:val="24"/>
      <w:lang w:val="en-US"/>
    </w:rPr>
  </w:style>
  <w:style w:type="paragraph" w:styleId="Revision">
    <w:name w:val="Revision"/>
    <w:hidden/>
    <w:uiPriority w:val="99"/>
    <w:semiHidden/>
    <w:rsid w:val="00B5275C"/>
    <w:pPr>
      <w:spacing w:after="0" w:line="240" w:lineRule="auto"/>
    </w:pPr>
    <w:rPr>
      <w:rFonts w:eastAsia="Times New Roman" w:cs="Arial"/>
      <w:color w:val="000000" w:themeColor="text1"/>
      <w:spacing w:val="-6"/>
      <w:sz w:val="24"/>
    </w:rPr>
  </w:style>
  <w:style w:type="paragraph" w:styleId="Header">
    <w:name w:val="header"/>
    <w:basedOn w:val="Normal"/>
    <w:link w:val="HeaderChar"/>
    <w:uiPriority w:val="99"/>
    <w:unhideWhenUsed/>
    <w:rsid w:val="007A7AF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A7AF9"/>
    <w:rPr>
      <w:rFonts w:eastAsia="Times New Roman" w:cs="Arial"/>
      <w:color w:val="000000" w:themeColor="text1"/>
      <w:spacing w:val="-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35066">
      <w:bodyDiv w:val="1"/>
      <w:marLeft w:val="0"/>
      <w:marRight w:val="0"/>
      <w:marTop w:val="0"/>
      <w:marBottom w:val="0"/>
      <w:divBdr>
        <w:top w:val="none" w:sz="0" w:space="0" w:color="auto"/>
        <w:left w:val="none" w:sz="0" w:space="0" w:color="auto"/>
        <w:bottom w:val="none" w:sz="0" w:space="0" w:color="auto"/>
        <w:right w:val="none" w:sz="0" w:space="0" w:color="auto"/>
      </w:divBdr>
    </w:div>
    <w:div w:id="1259950577">
      <w:bodyDiv w:val="1"/>
      <w:marLeft w:val="0"/>
      <w:marRight w:val="0"/>
      <w:marTop w:val="0"/>
      <w:marBottom w:val="0"/>
      <w:divBdr>
        <w:top w:val="none" w:sz="0" w:space="0" w:color="auto"/>
        <w:left w:val="none" w:sz="0" w:space="0" w:color="auto"/>
        <w:bottom w:val="none" w:sz="0" w:space="0" w:color="auto"/>
        <w:right w:val="none" w:sz="0" w:space="0" w:color="auto"/>
      </w:divBdr>
      <w:divsChild>
        <w:div w:id="470633548">
          <w:marLeft w:val="547"/>
          <w:marRight w:val="0"/>
          <w:marTop w:val="0"/>
          <w:marBottom w:val="0"/>
          <w:divBdr>
            <w:top w:val="none" w:sz="0" w:space="0" w:color="auto"/>
            <w:left w:val="none" w:sz="0" w:space="0" w:color="auto"/>
            <w:bottom w:val="none" w:sz="0" w:space="0" w:color="auto"/>
            <w:right w:val="none" w:sz="0" w:space="0" w:color="auto"/>
          </w:divBdr>
        </w:div>
        <w:div w:id="471871053">
          <w:marLeft w:val="1166"/>
          <w:marRight w:val="0"/>
          <w:marTop w:val="0"/>
          <w:marBottom w:val="0"/>
          <w:divBdr>
            <w:top w:val="none" w:sz="0" w:space="0" w:color="auto"/>
            <w:left w:val="none" w:sz="0" w:space="0" w:color="auto"/>
            <w:bottom w:val="none" w:sz="0" w:space="0" w:color="auto"/>
            <w:right w:val="none" w:sz="0" w:space="0" w:color="auto"/>
          </w:divBdr>
        </w:div>
        <w:div w:id="733695712">
          <w:marLeft w:val="1166"/>
          <w:marRight w:val="0"/>
          <w:marTop w:val="0"/>
          <w:marBottom w:val="0"/>
          <w:divBdr>
            <w:top w:val="none" w:sz="0" w:space="0" w:color="auto"/>
            <w:left w:val="none" w:sz="0" w:space="0" w:color="auto"/>
            <w:bottom w:val="none" w:sz="0" w:space="0" w:color="auto"/>
            <w:right w:val="none" w:sz="0" w:space="0" w:color="auto"/>
          </w:divBdr>
        </w:div>
        <w:div w:id="701830862">
          <w:marLeft w:val="1166"/>
          <w:marRight w:val="0"/>
          <w:marTop w:val="0"/>
          <w:marBottom w:val="0"/>
          <w:divBdr>
            <w:top w:val="none" w:sz="0" w:space="0" w:color="auto"/>
            <w:left w:val="none" w:sz="0" w:space="0" w:color="auto"/>
            <w:bottom w:val="none" w:sz="0" w:space="0" w:color="auto"/>
            <w:right w:val="none" w:sz="0" w:space="0" w:color="auto"/>
          </w:divBdr>
        </w:div>
        <w:div w:id="1307902835">
          <w:marLeft w:val="1166"/>
          <w:marRight w:val="0"/>
          <w:marTop w:val="0"/>
          <w:marBottom w:val="0"/>
          <w:divBdr>
            <w:top w:val="none" w:sz="0" w:space="0" w:color="auto"/>
            <w:left w:val="none" w:sz="0" w:space="0" w:color="auto"/>
            <w:bottom w:val="none" w:sz="0" w:space="0" w:color="auto"/>
            <w:right w:val="none" w:sz="0" w:space="0" w:color="auto"/>
          </w:divBdr>
        </w:div>
      </w:divsChild>
    </w:div>
    <w:div w:id="1366515333">
      <w:bodyDiv w:val="1"/>
      <w:marLeft w:val="0"/>
      <w:marRight w:val="0"/>
      <w:marTop w:val="0"/>
      <w:marBottom w:val="0"/>
      <w:divBdr>
        <w:top w:val="none" w:sz="0" w:space="0" w:color="auto"/>
        <w:left w:val="none" w:sz="0" w:space="0" w:color="auto"/>
        <w:bottom w:val="none" w:sz="0" w:space="0" w:color="auto"/>
        <w:right w:val="none" w:sz="0" w:space="0" w:color="auto"/>
      </w:divBdr>
      <w:divsChild>
        <w:div w:id="62470350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2791</Words>
  <Characters>15911</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Veerle V. Dieltiens</dc:creator>
  <cp:keywords/>
  <dc:description/>
  <cp:lastModifiedBy>Microsoft Office User</cp:lastModifiedBy>
  <cp:revision>2</cp:revision>
  <cp:lastPrinted>2017-03-30T14:48:00Z</cp:lastPrinted>
  <dcterms:created xsi:type="dcterms:W3CDTF">2017-05-25T06:17:00Z</dcterms:created>
  <dcterms:modified xsi:type="dcterms:W3CDTF">2017-05-25T06:17:00Z</dcterms:modified>
</cp:coreProperties>
</file>