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E06EA" w14:textId="77777777" w:rsidR="00455CEB" w:rsidRDefault="00455CEB" w:rsidP="008C07CF">
      <w:pPr>
        <w:jc w:val="center"/>
        <w:rPr>
          <w:sz w:val="72"/>
          <w:szCs w:val="72"/>
        </w:rPr>
      </w:pPr>
      <w:r w:rsidRPr="0002584F">
        <w:rPr>
          <w:noProof/>
        </w:rPr>
        <w:drawing>
          <wp:inline distT="0" distB="0" distL="0" distR="0" wp14:anchorId="6F4A85A4" wp14:editId="18F5DDD1">
            <wp:extent cx="1828800" cy="1828800"/>
            <wp:effectExtent l="0" t="0" r="0" b="0"/>
            <wp:docPr id="3" name="Picture 3" descr="http://www.nationalskillsauthority.org.za/wp-content/uploads/2015/12/logo-nsa-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ionalskillsauthority.org.za/wp-content/uploads/2015/12/logo-nsa-150x1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562" cy="1833562"/>
                    </a:xfrm>
                    <a:prstGeom prst="rect">
                      <a:avLst/>
                    </a:prstGeom>
                    <a:noFill/>
                    <a:ln>
                      <a:noFill/>
                    </a:ln>
                  </pic:spPr>
                </pic:pic>
              </a:graphicData>
            </a:graphic>
          </wp:inline>
        </w:drawing>
      </w:r>
    </w:p>
    <w:p w14:paraId="1B8C376C" w14:textId="77777777" w:rsidR="009E19F7" w:rsidRPr="008C07CF" w:rsidRDefault="00C835A5" w:rsidP="008C07CF">
      <w:pPr>
        <w:jc w:val="center"/>
        <w:rPr>
          <w:b/>
          <w:sz w:val="36"/>
          <w:szCs w:val="36"/>
          <w:lang w:val="en-ZA"/>
        </w:rPr>
      </w:pPr>
      <w:r w:rsidRPr="008C07CF">
        <w:rPr>
          <w:b/>
          <w:sz w:val="36"/>
          <w:szCs w:val="36"/>
          <w:lang w:val="en-ZA"/>
        </w:rPr>
        <w:t>EVALUATION OF NATIONAL SKILLS</w:t>
      </w:r>
    </w:p>
    <w:p w14:paraId="6D36D9BD" w14:textId="77777777" w:rsidR="00C835A5" w:rsidRPr="008C07CF" w:rsidRDefault="00C835A5" w:rsidP="008C07CF">
      <w:pPr>
        <w:jc w:val="center"/>
        <w:rPr>
          <w:b/>
          <w:sz w:val="36"/>
          <w:szCs w:val="36"/>
          <w:lang w:val="en-ZA"/>
        </w:rPr>
      </w:pPr>
      <w:r w:rsidRPr="008C07CF">
        <w:rPr>
          <w:b/>
          <w:sz w:val="36"/>
          <w:szCs w:val="36"/>
          <w:lang w:val="en-ZA"/>
        </w:rPr>
        <w:t>DEVELOPMENT STRATEGY (NSDS III) 2011-2016</w:t>
      </w:r>
    </w:p>
    <w:p w14:paraId="6C4C07A4" w14:textId="77777777" w:rsidR="00C835A5" w:rsidRPr="003F3AE8" w:rsidRDefault="00C835A5" w:rsidP="008C07CF">
      <w:pPr>
        <w:rPr>
          <w:lang w:val="en-ZA"/>
        </w:rPr>
      </w:pPr>
    </w:p>
    <w:p w14:paraId="3BCE12A5" w14:textId="77777777" w:rsidR="00E01FCE" w:rsidRDefault="00A60CC3" w:rsidP="008C07CF">
      <w:pPr>
        <w:jc w:val="center"/>
        <w:rPr>
          <w:b/>
          <w:sz w:val="36"/>
          <w:szCs w:val="36"/>
        </w:rPr>
      </w:pPr>
      <w:r w:rsidRPr="008C07CF">
        <w:rPr>
          <w:b/>
          <w:sz w:val="36"/>
          <w:szCs w:val="36"/>
        </w:rPr>
        <w:t xml:space="preserve">Draft </w:t>
      </w:r>
      <w:r w:rsidR="00E01FCE" w:rsidRPr="008C07CF">
        <w:rPr>
          <w:b/>
          <w:sz w:val="36"/>
          <w:szCs w:val="36"/>
        </w:rPr>
        <w:t>Baseline Report</w:t>
      </w:r>
    </w:p>
    <w:p w14:paraId="094F219E" w14:textId="77777777" w:rsidR="00E93DB8" w:rsidRPr="008C07CF" w:rsidRDefault="00E93DB8" w:rsidP="008C07CF">
      <w:pPr>
        <w:jc w:val="center"/>
        <w:rPr>
          <w:b/>
          <w:sz w:val="36"/>
          <w:szCs w:val="36"/>
        </w:rPr>
      </w:pPr>
    </w:p>
    <w:p w14:paraId="6BAE055A" w14:textId="77777777" w:rsidR="00F47910" w:rsidRDefault="00F47910" w:rsidP="008C07CF">
      <w:pPr>
        <w:jc w:val="center"/>
        <w:rPr>
          <w:sz w:val="72"/>
          <w:szCs w:val="72"/>
        </w:rPr>
      </w:pPr>
      <w:bookmarkStart w:id="0" w:name="_Toc409536682"/>
      <w:r w:rsidRPr="0002584F">
        <w:rPr>
          <w:noProof/>
        </w:rPr>
        <w:drawing>
          <wp:inline distT="0" distB="0" distL="0" distR="0" wp14:anchorId="2B4B4A82" wp14:editId="02761DD2">
            <wp:extent cx="2218071" cy="485189"/>
            <wp:effectExtent l="0" t="0" r="0" b="0"/>
            <wp:docPr id="1" name="Picture 1" desc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4287" cy="490924"/>
                    </a:xfrm>
                    <a:prstGeom prst="rect">
                      <a:avLst/>
                    </a:prstGeom>
                    <a:noFill/>
                    <a:ln>
                      <a:noFill/>
                    </a:ln>
                  </pic:spPr>
                </pic:pic>
              </a:graphicData>
            </a:graphic>
          </wp:inline>
        </w:drawing>
      </w:r>
      <w:bookmarkEnd w:id="0"/>
    </w:p>
    <w:p w14:paraId="0E103D7E" w14:textId="77777777" w:rsidR="00B73A22" w:rsidRPr="003F3AE8" w:rsidRDefault="00CC261B" w:rsidP="008C07CF">
      <w:pPr>
        <w:jc w:val="center"/>
      </w:pPr>
      <w:r w:rsidRPr="003F3AE8">
        <w:t>and</w:t>
      </w:r>
    </w:p>
    <w:p w14:paraId="2013BE8D" w14:textId="77777777" w:rsidR="00F47910" w:rsidRDefault="00B73A22" w:rsidP="008C07CF">
      <w:pPr>
        <w:jc w:val="center"/>
        <w:rPr>
          <w:sz w:val="72"/>
          <w:szCs w:val="72"/>
        </w:rPr>
      </w:pPr>
      <w:r w:rsidRPr="0002584F">
        <w:rPr>
          <w:noProof/>
        </w:rPr>
        <w:drawing>
          <wp:inline distT="0" distB="0" distL="0" distR="0" wp14:anchorId="0862A46F" wp14:editId="4B4AF112">
            <wp:extent cx="2444642" cy="17386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840" cy="1748078"/>
                    </a:xfrm>
                    <a:prstGeom prst="rect">
                      <a:avLst/>
                    </a:prstGeom>
                    <a:noFill/>
                    <a:ln>
                      <a:noFill/>
                    </a:ln>
                  </pic:spPr>
                </pic:pic>
              </a:graphicData>
            </a:graphic>
          </wp:inline>
        </w:drawing>
      </w:r>
    </w:p>
    <w:p w14:paraId="3081EE68" w14:textId="77777777" w:rsidR="00813248" w:rsidRPr="008C07CF" w:rsidRDefault="004F7623" w:rsidP="008C07CF">
      <w:pPr>
        <w:jc w:val="center"/>
        <w:rPr>
          <w:b/>
          <w:sz w:val="28"/>
          <w:szCs w:val="28"/>
        </w:rPr>
      </w:pPr>
      <w:r w:rsidRPr="008C07CF">
        <w:rPr>
          <w:b/>
          <w:sz w:val="28"/>
          <w:szCs w:val="28"/>
        </w:rPr>
        <w:t>July</w:t>
      </w:r>
      <w:r w:rsidR="009D7CEF" w:rsidRPr="008C07CF">
        <w:rPr>
          <w:b/>
          <w:sz w:val="28"/>
          <w:szCs w:val="28"/>
        </w:rPr>
        <w:t xml:space="preserve"> 2017</w:t>
      </w:r>
    </w:p>
    <w:p w14:paraId="03A3D4B1" w14:textId="77777777" w:rsidR="00544513" w:rsidRPr="008C07CF" w:rsidRDefault="00813248" w:rsidP="008C07CF">
      <w:pPr>
        <w:jc w:val="center"/>
        <w:rPr>
          <w:b/>
          <w:sz w:val="28"/>
          <w:szCs w:val="28"/>
        </w:rPr>
      </w:pPr>
      <w:r>
        <w:br w:type="page"/>
      </w:r>
      <w:r w:rsidR="00544513" w:rsidRPr="008C07CF">
        <w:rPr>
          <w:b/>
          <w:sz w:val="28"/>
          <w:szCs w:val="28"/>
        </w:rPr>
        <w:lastRenderedPageBreak/>
        <w:t>Table of Contents</w:t>
      </w:r>
    </w:p>
    <w:p w14:paraId="3F2333A9" w14:textId="77777777" w:rsidR="00441605" w:rsidRPr="00441605" w:rsidRDefault="00B97113" w:rsidP="00441605">
      <w:pPr>
        <w:pStyle w:val="TOC1"/>
        <w:tabs>
          <w:tab w:val="right" w:leader="dot" w:pos="9350"/>
        </w:tabs>
        <w:spacing w:line="240" w:lineRule="auto"/>
        <w:rPr>
          <w:rFonts w:eastAsiaTheme="minorEastAsia"/>
          <w:noProof/>
          <w:sz w:val="22"/>
        </w:rPr>
      </w:pPr>
      <w:r w:rsidRPr="00441605">
        <w:rPr>
          <w:rFonts w:cstheme="minorHAnsi"/>
          <w:sz w:val="22"/>
        </w:rPr>
        <w:fldChar w:fldCharType="begin"/>
      </w:r>
      <w:r w:rsidRPr="00441605">
        <w:rPr>
          <w:rFonts w:cstheme="minorHAnsi"/>
          <w:sz w:val="22"/>
        </w:rPr>
        <w:instrText xml:space="preserve"> TOC \o "1-2" </w:instrText>
      </w:r>
      <w:r w:rsidRPr="00441605">
        <w:rPr>
          <w:rFonts w:cstheme="minorHAnsi"/>
          <w:sz w:val="22"/>
        </w:rPr>
        <w:fldChar w:fldCharType="separate"/>
      </w:r>
      <w:r w:rsidR="00441605" w:rsidRPr="00441605">
        <w:rPr>
          <w:noProof/>
          <w:sz w:val="22"/>
        </w:rPr>
        <w:t>ABBREVIATIONS AND ACRONYMS</w:t>
      </w:r>
      <w:r w:rsidR="00441605" w:rsidRPr="00441605">
        <w:rPr>
          <w:noProof/>
          <w:sz w:val="22"/>
        </w:rPr>
        <w:tab/>
      </w:r>
      <w:r w:rsidR="00441605" w:rsidRPr="00441605">
        <w:rPr>
          <w:noProof/>
          <w:sz w:val="22"/>
        </w:rPr>
        <w:fldChar w:fldCharType="begin"/>
      </w:r>
      <w:r w:rsidR="00441605" w:rsidRPr="00441605">
        <w:rPr>
          <w:noProof/>
          <w:sz w:val="22"/>
        </w:rPr>
        <w:instrText xml:space="preserve"> PAGEREF _Toc488525859 \h </w:instrText>
      </w:r>
      <w:r w:rsidR="00441605" w:rsidRPr="00441605">
        <w:rPr>
          <w:noProof/>
          <w:sz w:val="22"/>
        </w:rPr>
      </w:r>
      <w:r w:rsidR="00441605" w:rsidRPr="00441605">
        <w:rPr>
          <w:noProof/>
          <w:sz w:val="22"/>
        </w:rPr>
        <w:fldChar w:fldCharType="separate"/>
      </w:r>
      <w:r w:rsidR="00441605">
        <w:rPr>
          <w:noProof/>
          <w:sz w:val="22"/>
        </w:rPr>
        <w:t>3</w:t>
      </w:r>
      <w:r w:rsidR="00441605" w:rsidRPr="00441605">
        <w:rPr>
          <w:noProof/>
          <w:sz w:val="22"/>
        </w:rPr>
        <w:fldChar w:fldCharType="end"/>
      </w:r>
    </w:p>
    <w:p w14:paraId="4481BE6D" w14:textId="77777777" w:rsidR="00441605" w:rsidRPr="00441605" w:rsidRDefault="00441605" w:rsidP="00441605">
      <w:pPr>
        <w:pStyle w:val="TOC1"/>
        <w:tabs>
          <w:tab w:val="right" w:leader="dot" w:pos="9350"/>
        </w:tabs>
        <w:spacing w:line="240" w:lineRule="auto"/>
        <w:rPr>
          <w:rFonts w:eastAsiaTheme="minorEastAsia"/>
          <w:noProof/>
          <w:sz w:val="22"/>
        </w:rPr>
      </w:pPr>
      <w:r w:rsidRPr="00441605">
        <w:rPr>
          <w:noProof/>
          <w:sz w:val="22"/>
        </w:rPr>
        <w:t>GLOSSARY</w:t>
      </w:r>
      <w:r w:rsidRPr="00441605">
        <w:rPr>
          <w:noProof/>
          <w:sz w:val="22"/>
        </w:rPr>
        <w:tab/>
      </w:r>
      <w:r w:rsidRPr="00441605">
        <w:rPr>
          <w:noProof/>
          <w:sz w:val="22"/>
        </w:rPr>
        <w:fldChar w:fldCharType="begin"/>
      </w:r>
      <w:r w:rsidRPr="00441605">
        <w:rPr>
          <w:noProof/>
          <w:sz w:val="22"/>
        </w:rPr>
        <w:instrText xml:space="preserve"> PAGEREF _Toc488525860 \h </w:instrText>
      </w:r>
      <w:r w:rsidRPr="00441605">
        <w:rPr>
          <w:noProof/>
          <w:sz w:val="22"/>
        </w:rPr>
      </w:r>
      <w:r w:rsidRPr="00441605">
        <w:rPr>
          <w:noProof/>
          <w:sz w:val="22"/>
        </w:rPr>
        <w:fldChar w:fldCharType="separate"/>
      </w:r>
      <w:r>
        <w:rPr>
          <w:noProof/>
          <w:sz w:val="22"/>
        </w:rPr>
        <w:t>5</w:t>
      </w:r>
      <w:r w:rsidRPr="00441605">
        <w:rPr>
          <w:noProof/>
          <w:sz w:val="22"/>
        </w:rPr>
        <w:fldChar w:fldCharType="end"/>
      </w:r>
    </w:p>
    <w:p w14:paraId="407321E1" w14:textId="77777777" w:rsidR="00441605" w:rsidRPr="00441605" w:rsidRDefault="00441605" w:rsidP="00441605">
      <w:pPr>
        <w:pStyle w:val="TOC1"/>
        <w:tabs>
          <w:tab w:val="left" w:pos="440"/>
          <w:tab w:val="right" w:leader="dot" w:pos="9350"/>
        </w:tabs>
        <w:spacing w:line="240" w:lineRule="auto"/>
        <w:rPr>
          <w:rFonts w:eastAsiaTheme="minorEastAsia"/>
          <w:noProof/>
          <w:sz w:val="22"/>
        </w:rPr>
      </w:pPr>
      <w:r w:rsidRPr="00441605">
        <w:rPr>
          <w:noProof/>
          <w:sz w:val="22"/>
        </w:rPr>
        <w:t>1</w:t>
      </w:r>
      <w:r w:rsidRPr="00441605">
        <w:rPr>
          <w:rFonts w:eastAsiaTheme="minorEastAsia"/>
          <w:noProof/>
          <w:sz w:val="22"/>
        </w:rPr>
        <w:tab/>
      </w:r>
      <w:r w:rsidRPr="00441605">
        <w:rPr>
          <w:noProof/>
          <w:sz w:val="22"/>
        </w:rPr>
        <w:t>INTRODUCTION</w:t>
      </w:r>
      <w:r w:rsidRPr="00441605">
        <w:rPr>
          <w:noProof/>
          <w:sz w:val="22"/>
        </w:rPr>
        <w:tab/>
      </w:r>
      <w:r w:rsidRPr="00441605">
        <w:rPr>
          <w:noProof/>
          <w:sz w:val="22"/>
        </w:rPr>
        <w:fldChar w:fldCharType="begin"/>
      </w:r>
      <w:r w:rsidRPr="00441605">
        <w:rPr>
          <w:noProof/>
          <w:sz w:val="22"/>
        </w:rPr>
        <w:instrText xml:space="preserve"> PAGEREF _Toc488525861 \h </w:instrText>
      </w:r>
      <w:r w:rsidRPr="00441605">
        <w:rPr>
          <w:noProof/>
          <w:sz w:val="22"/>
        </w:rPr>
      </w:r>
      <w:r w:rsidRPr="00441605">
        <w:rPr>
          <w:noProof/>
          <w:sz w:val="22"/>
        </w:rPr>
        <w:fldChar w:fldCharType="separate"/>
      </w:r>
      <w:r>
        <w:rPr>
          <w:noProof/>
          <w:sz w:val="22"/>
        </w:rPr>
        <w:t>7</w:t>
      </w:r>
      <w:r w:rsidRPr="00441605">
        <w:rPr>
          <w:noProof/>
          <w:sz w:val="22"/>
        </w:rPr>
        <w:fldChar w:fldCharType="end"/>
      </w:r>
    </w:p>
    <w:p w14:paraId="1BE79D1E" w14:textId="77777777" w:rsidR="00441605" w:rsidRPr="00441605" w:rsidRDefault="00441605" w:rsidP="00441605">
      <w:pPr>
        <w:pStyle w:val="TOC2"/>
        <w:tabs>
          <w:tab w:val="left" w:pos="960"/>
          <w:tab w:val="right" w:leader="dot" w:pos="9350"/>
        </w:tabs>
        <w:spacing w:line="240" w:lineRule="auto"/>
        <w:rPr>
          <w:rFonts w:eastAsiaTheme="minorEastAsia"/>
          <w:noProof/>
          <w:sz w:val="22"/>
        </w:rPr>
      </w:pPr>
      <w:r w:rsidRPr="00441605">
        <w:rPr>
          <w:noProof/>
          <w:sz w:val="22"/>
        </w:rPr>
        <w:t>1.1</w:t>
      </w:r>
      <w:r w:rsidRPr="00441605">
        <w:rPr>
          <w:rFonts w:eastAsiaTheme="minorEastAsia"/>
          <w:noProof/>
          <w:sz w:val="22"/>
        </w:rPr>
        <w:tab/>
      </w:r>
      <w:r w:rsidRPr="00441605">
        <w:rPr>
          <w:noProof/>
          <w:sz w:val="22"/>
        </w:rPr>
        <w:t>Purpose of the study</w:t>
      </w:r>
      <w:r w:rsidRPr="00441605">
        <w:rPr>
          <w:noProof/>
          <w:sz w:val="22"/>
        </w:rPr>
        <w:tab/>
      </w:r>
      <w:r w:rsidRPr="00441605">
        <w:rPr>
          <w:noProof/>
          <w:sz w:val="22"/>
        </w:rPr>
        <w:fldChar w:fldCharType="begin"/>
      </w:r>
      <w:r w:rsidRPr="00441605">
        <w:rPr>
          <w:noProof/>
          <w:sz w:val="22"/>
        </w:rPr>
        <w:instrText xml:space="preserve"> PAGEREF _Toc488525862 \h </w:instrText>
      </w:r>
      <w:r w:rsidRPr="00441605">
        <w:rPr>
          <w:noProof/>
          <w:sz w:val="22"/>
        </w:rPr>
      </w:r>
      <w:r w:rsidRPr="00441605">
        <w:rPr>
          <w:noProof/>
          <w:sz w:val="22"/>
        </w:rPr>
        <w:fldChar w:fldCharType="separate"/>
      </w:r>
      <w:r>
        <w:rPr>
          <w:noProof/>
          <w:sz w:val="22"/>
        </w:rPr>
        <w:t>7</w:t>
      </w:r>
      <w:r w:rsidRPr="00441605">
        <w:rPr>
          <w:noProof/>
          <w:sz w:val="22"/>
        </w:rPr>
        <w:fldChar w:fldCharType="end"/>
      </w:r>
    </w:p>
    <w:p w14:paraId="1F833C5A" w14:textId="77777777" w:rsidR="00441605" w:rsidRPr="00441605" w:rsidRDefault="00441605" w:rsidP="00441605">
      <w:pPr>
        <w:pStyle w:val="TOC2"/>
        <w:tabs>
          <w:tab w:val="left" w:pos="960"/>
          <w:tab w:val="right" w:leader="dot" w:pos="9350"/>
        </w:tabs>
        <w:spacing w:line="240" w:lineRule="auto"/>
        <w:rPr>
          <w:rFonts w:eastAsiaTheme="minorEastAsia"/>
          <w:noProof/>
          <w:sz w:val="22"/>
        </w:rPr>
      </w:pPr>
      <w:r w:rsidRPr="00441605">
        <w:rPr>
          <w:noProof/>
          <w:sz w:val="22"/>
        </w:rPr>
        <w:t>1.2</w:t>
      </w:r>
      <w:r w:rsidRPr="00441605">
        <w:rPr>
          <w:rFonts w:eastAsiaTheme="minorEastAsia"/>
          <w:noProof/>
          <w:sz w:val="22"/>
        </w:rPr>
        <w:tab/>
      </w:r>
      <w:r w:rsidRPr="00441605">
        <w:rPr>
          <w:noProof/>
          <w:sz w:val="22"/>
        </w:rPr>
        <w:t>Contextual background</w:t>
      </w:r>
      <w:r w:rsidRPr="00441605">
        <w:rPr>
          <w:noProof/>
          <w:sz w:val="22"/>
        </w:rPr>
        <w:tab/>
      </w:r>
      <w:r w:rsidRPr="00441605">
        <w:rPr>
          <w:noProof/>
          <w:sz w:val="22"/>
        </w:rPr>
        <w:fldChar w:fldCharType="begin"/>
      </w:r>
      <w:r w:rsidRPr="00441605">
        <w:rPr>
          <w:noProof/>
          <w:sz w:val="22"/>
        </w:rPr>
        <w:instrText xml:space="preserve"> PAGEREF _Toc488525863 \h </w:instrText>
      </w:r>
      <w:r w:rsidRPr="00441605">
        <w:rPr>
          <w:noProof/>
          <w:sz w:val="22"/>
        </w:rPr>
      </w:r>
      <w:r w:rsidRPr="00441605">
        <w:rPr>
          <w:noProof/>
          <w:sz w:val="22"/>
        </w:rPr>
        <w:fldChar w:fldCharType="separate"/>
      </w:r>
      <w:r>
        <w:rPr>
          <w:noProof/>
          <w:sz w:val="22"/>
        </w:rPr>
        <w:t>7</w:t>
      </w:r>
      <w:r w:rsidRPr="00441605">
        <w:rPr>
          <w:noProof/>
          <w:sz w:val="22"/>
        </w:rPr>
        <w:fldChar w:fldCharType="end"/>
      </w:r>
    </w:p>
    <w:p w14:paraId="08AF01DF" w14:textId="77777777" w:rsidR="00441605" w:rsidRPr="00441605" w:rsidRDefault="00441605" w:rsidP="00441605">
      <w:pPr>
        <w:pStyle w:val="TOC2"/>
        <w:tabs>
          <w:tab w:val="left" w:pos="960"/>
          <w:tab w:val="right" w:leader="dot" w:pos="9350"/>
        </w:tabs>
        <w:spacing w:line="240" w:lineRule="auto"/>
        <w:rPr>
          <w:rFonts w:eastAsiaTheme="minorEastAsia"/>
          <w:noProof/>
          <w:sz w:val="22"/>
        </w:rPr>
      </w:pPr>
      <w:r w:rsidRPr="00441605">
        <w:rPr>
          <w:noProof/>
          <w:sz w:val="22"/>
        </w:rPr>
        <w:t>1.3</w:t>
      </w:r>
      <w:r w:rsidRPr="00441605">
        <w:rPr>
          <w:rFonts w:eastAsiaTheme="minorEastAsia"/>
          <w:noProof/>
          <w:sz w:val="22"/>
        </w:rPr>
        <w:tab/>
      </w:r>
      <w:r w:rsidRPr="00441605">
        <w:rPr>
          <w:noProof/>
          <w:sz w:val="22"/>
        </w:rPr>
        <w:t>The NSDS</w:t>
      </w:r>
      <w:r w:rsidRPr="00441605">
        <w:rPr>
          <w:noProof/>
          <w:sz w:val="22"/>
        </w:rPr>
        <w:tab/>
      </w:r>
      <w:r w:rsidRPr="00441605">
        <w:rPr>
          <w:noProof/>
          <w:sz w:val="22"/>
        </w:rPr>
        <w:fldChar w:fldCharType="begin"/>
      </w:r>
      <w:r w:rsidRPr="00441605">
        <w:rPr>
          <w:noProof/>
          <w:sz w:val="22"/>
        </w:rPr>
        <w:instrText xml:space="preserve"> PAGEREF _Toc488525864 \h </w:instrText>
      </w:r>
      <w:r w:rsidRPr="00441605">
        <w:rPr>
          <w:noProof/>
          <w:sz w:val="22"/>
        </w:rPr>
      </w:r>
      <w:r w:rsidRPr="00441605">
        <w:rPr>
          <w:noProof/>
          <w:sz w:val="22"/>
        </w:rPr>
        <w:fldChar w:fldCharType="separate"/>
      </w:r>
      <w:r>
        <w:rPr>
          <w:noProof/>
          <w:sz w:val="22"/>
        </w:rPr>
        <w:t>8</w:t>
      </w:r>
      <w:r w:rsidRPr="00441605">
        <w:rPr>
          <w:noProof/>
          <w:sz w:val="22"/>
        </w:rPr>
        <w:fldChar w:fldCharType="end"/>
      </w:r>
    </w:p>
    <w:p w14:paraId="3CE76BD4" w14:textId="77777777" w:rsidR="00441605" w:rsidRPr="00441605" w:rsidRDefault="00441605" w:rsidP="00441605">
      <w:pPr>
        <w:pStyle w:val="TOC2"/>
        <w:tabs>
          <w:tab w:val="left" w:pos="960"/>
          <w:tab w:val="right" w:leader="dot" w:pos="9350"/>
        </w:tabs>
        <w:spacing w:line="240" w:lineRule="auto"/>
        <w:rPr>
          <w:rFonts w:eastAsiaTheme="minorEastAsia"/>
          <w:noProof/>
          <w:sz w:val="22"/>
        </w:rPr>
      </w:pPr>
      <w:r w:rsidRPr="00441605">
        <w:rPr>
          <w:noProof/>
          <w:sz w:val="22"/>
        </w:rPr>
        <w:t>1.4</w:t>
      </w:r>
      <w:r w:rsidRPr="00441605">
        <w:rPr>
          <w:rFonts w:eastAsiaTheme="minorEastAsia"/>
          <w:noProof/>
          <w:sz w:val="22"/>
        </w:rPr>
        <w:tab/>
      </w:r>
      <w:r w:rsidRPr="00441605">
        <w:rPr>
          <w:noProof/>
          <w:sz w:val="22"/>
        </w:rPr>
        <w:t>Policy and legislative imperatives</w:t>
      </w:r>
      <w:r w:rsidRPr="00441605">
        <w:rPr>
          <w:noProof/>
          <w:sz w:val="22"/>
        </w:rPr>
        <w:tab/>
      </w:r>
      <w:r w:rsidRPr="00441605">
        <w:rPr>
          <w:noProof/>
          <w:sz w:val="22"/>
        </w:rPr>
        <w:fldChar w:fldCharType="begin"/>
      </w:r>
      <w:r w:rsidRPr="00441605">
        <w:rPr>
          <w:noProof/>
          <w:sz w:val="22"/>
        </w:rPr>
        <w:instrText xml:space="preserve"> PAGEREF _Toc488525865 \h </w:instrText>
      </w:r>
      <w:r w:rsidRPr="00441605">
        <w:rPr>
          <w:noProof/>
          <w:sz w:val="22"/>
        </w:rPr>
      </w:r>
      <w:r w:rsidRPr="00441605">
        <w:rPr>
          <w:noProof/>
          <w:sz w:val="22"/>
        </w:rPr>
        <w:fldChar w:fldCharType="separate"/>
      </w:r>
      <w:r>
        <w:rPr>
          <w:noProof/>
          <w:sz w:val="22"/>
        </w:rPr>
        <w:t>9</w:t>
      </w:r>
      <w:r w:rsidRPr="00441605">
        <w:rPr>
          <w:noProof/>
          <w:sz w:val="22"/>
        </w:rPr>
        <w:fldChar w:fldCharType="end"/>
      </w:r>
    </w:p>
    <w:p w14:paraId="1520771D" w14:textId="77777777" w:rsidR="00441605" w:rsidRPr="00441605" w:rsidRDefault="00441605" w:rsidP="00441605">
      <w:pPr>
        <w:pStyle w:val="TOC2"/>
        <w:tabs>
          <w:tab w:val="left" w:pos="960"/>
          <w:tab w:val="right" w:leader="dot" w:pos="9350"/>
        </w:tabs>
        <w:spacing w:line="240" w:lineRule="auto"/>
        <w:rPr>
          <w:rFonts w:eastAsiaTheme="minorEastAsia"/>
          <w:noProof/>
          <w:sz w:val="22"/>
        </w:rPr>
      </w:pPr>
      <w:r w:rsidRPr="00441605">
        <w:rPr>
          <w:noProof/>
          <w:sz w:val="22"/>
        </w:rPr>
        <w:t>1.5</w:t>
      </w:r>
      <w:r w:rsidRPr="00441605">
        <w:rPr>
          <w:rFonts w:eastAsiaTheme="minorEastAsia"/>
          <w:noProof/>
          <w:sz w:val="22"/>
        </w:rPr>
        <w:tab/>
      </w:r>
      <w:r w:rsidRPr="00441605">
        <w:rPr>
          <w:noProof/>
          <w:sz w:val="22"/>
        </w:rPr>
        <w:t>Methodology</w:t>
      </w:r>
      <w:r w:rsidRPr="00441605">
        <w:rPr>
          <w:noProof/>
          <w:sz w:val="22"/>
        </w:rPr>
        <w:tab/>
      </w:r>
      <w:r w:rsidRPr="00441605">
        <w:rPr>
          <w:noProof/>
          <w:sz w:val="22"/>
        </w:rPr>
        <w:fldChar w:fldCharType="begin"/>
      </w:r>
      <w:r w:rsidRPr="00441605">
        <w:rPr>
          <w:noProof/>
          <w:sz w:val="22"/>
        </w:rPr>
        <w:instrText xml:space="preserve"> PAGEREF _Toc488525866 \h </w:instrText>
      </w:r>
      <w:r w:rsidRPr="00441605">
        <w:rPr>
          <w:noProof/>
          <w:sz w:val="22"/>
        </w:rPr>
      </w:r>
      <w:r w:rsidRPr="00441605">
        <w:rPr>
          <w:noProof/>
          <w:sz w:val="22"/>
        </w:rPr>
        <w:fldChar w:fldCharType="separate"/>
      </w:r>
      <w:r>
        <w:rPr>
          <w:noProof/>
          <w:sz w:val="22"/>
        </w:rPr>
        <w:t>10</w:t>
      </w:r>
      <w:r w:rsidRPr="00441605">
        <w:rPr>
          <w:noProof/>
          <w:sz w:val="22"/>
        </w:rPr>
        <w:fldChar w:fldCharType="end"/>
      </w:r>
    </w:p>
    <w:p w14:paraId="198657DF" w14:textId="77777777" w:rsidR="00441605" w:rsidRPr="00441605" w:rsidRDefault="00441605" w:rsidP="00441605">
      <w:pPr>
        <w:pStyle w:val="TOC2"/>
        <w:tabs>
          <w:tab w:val="left" w:pos="960"/>
          <w:tab w:val="right" w:leader="dot" w:pos="9350"/>
        </w:tabs>
        <w:spacing w:line="240" w:lineRule="auto"/>
        <w:rPr>
          <w:rFonts w:eastAsiaTheme="minorEastAsia"/>
          <w:noProof/>
          <w:sz w:val="22"/>
        </w:rPr>
      </w:pPr>
      <w:r w:rsidRPr="00441605">
        <w:rPr>
          <w:noProof/>
          <w:sz w:val="22"/>
        </w:rPr>
        <w:t>1.6</w:t>
      </w:r>
      <w:r w:rsidRPr="00441605">
        <w:rPr>
          <w:rFonts w:eastAsiaTheme="minorEastAsia"/>
          <w:noProof/>
          <w:sz w:val="22"/>
        </w:rPr>
        <w:tab/>
      </w:r>
      <w:r w:rsidRPr="00441605">
        <w:rPr>
          <w:noProof/>
          <w:sz w:val="22"/>
        </w:rPr>
        <w:t>Research Limitations</w:t>
      </w:r>
      <w:r w:rsidRPr="00441605">
        <w:rPr>
          <w:noProof/>
          <w:sz w:val="22"/>
        </w:rPr>
        <w:tab/>
      </w:r>
      <w:r w:rsidRPr="00441605">
        <w:rPr>
          <w:noProof/>
          <w:sz w:val="22"/>
        </w:rPr>
        <w:fldChar w:fldCharType="begin"/>
      </w:r>
      <w:r w:rsidRPr="00441605">
        <w:rPr>
          <w:noProof/>
          <w:sz w:val="22"/>
        </w:rPr>
        <w:instrText xml:space="preserve"> PAGEREF _Toc488525867 \h </w:instrText>
      </w:r>
      <w:r w:rsidRPr="00441605">
        <w:rPr>
          <w:noProof/>
          <w:sz w:val="22"/>
        </w:rPr>
      </w:r>
      <w:r w:rsidRPr="00441605">
        <w:rPr>
          <w:noProof/>
          <w:sz w:val="22"/>
        </w:rPr>
        <w:fldChar w:fldCharType="separate"/>
      </w:r>
      <w:r>
        <w:rPr>
          <w:noProof/>
          <w:sz w:val="22"/>
        </w:rPr>
        <w:t>10</w:t>
      </w:r>
      <w:r w:rsidRPr="00441605">
        <w:rPr>
          <w:noProof/>
          <w:sz w:val="22"/>
        </w:rPr>
        <w:fldChar w:fldCharType="end"/>
      </w:r>
    </w:p>
    <w:p w14:paraId="51E5D2AA" w14:textId="77777777" w:rsidR="00441605" w:rsidRPr="00441605" w:rsidRDefault="00441605" w:rsidP="00441605">
      <w:pPr>
        <w:pStyle w:val="TOC1"/>
        <w:tabs>
          <w:tab w:val="left" w:pos="440"/>
          <w:tab w:val="right" w:leader="dot" w:pos="9350"/>
        </w:tabs>
        <w:spacing w:line="240" w:lineRule="auto"/>
        <w:rPr>
          <w:rFonts w:eastAsiaTheme="minorEastAsia"/>
          <w:noProof/>
          <w:sz w:val="22"/>
        </w:rPr>
      </w:pPr>
      <w:r w:rsidRPr="00441605">
        <w:rPr>
          <w:noProof/>
          <w:sz w:val="22"/>
        </w:rPr>
        <w:t>2</w:t>
      </w:r>
      <w:r w:rsidRPr="00441605">
        <w:rPr>
          <w:rFonts w:eastAsiaTheme="minorEastAsia"/>
          <w:noProof/>
          <w:sz w:val="22"/>
        </w:rPr>
        <w:tab/>
      </w:r>
      <w:r w:rsidRPr="00441605">
        <w:rPr>
          <w:noProof/>
          <w:sz w:val="22"/>
        </w:rPr>
        <w:t>PRESENTATION OF THE KEY FINDINGS</w:t>
      </w:r>
      <w:r w:rsidRPr="00441605">
        <w:rPr>
          <w:noProof/>
          <w:sz w:val="22"/>
        </w:rPr>
        <w:tab/>
      </w:r>
      <w:r w:rsidRPr="00441605">
        <w:rPr>
          <w:noProof/>
          <w:sz w:val="22"/>
        </w:rPr>
        <w:fldChar w:fldCharType="begin"/>
      </w:r>
      <w:r w:rsidRPr="00441605">
        <w:rPr>
          <w:noProof/>
          <w:sz w:val="22"/>
        </w:rPr>
        <w:instrText xml:space="preserve"> PAGEREF _Toc488525868 \h </w:instrText>
      </w:r>
      <w:r w:rsidRPr="00441605">
        <w:rPr>
          <w:noProof/>
          <w:sz w:val="22"/>
        </w:rPr>
      </w:r>
      <w:r w:rsidRPr="00441605">
        <w:rPr>
          <w:noProof/>
          <w:sz w:val="22"/>
        </w:rPr>
        <w:fldChar w:fldCharType="separate"/>
      </w:r>
      <w:r>
        <w:rPr>
          <w:noProof/>
          <w:sz w:val="22"/>
        </w:rPr>
        <w:t>11</w:t>
      </w:r>
      <w:r w:rsidRPr="00441605">
        <w:rPr>
          <w:noProof/>
          <w:sz w:val="22"/>
        </w:rPr>
        <w:fldChar w:fldCharType="end"/>
      </w:r>
    </w:p>
    <w:p w14:paraId="78CF96A0" w14:textId="77777777" w:rsidR="00441605" w:rsidRPr="00441605" w:rsidRDefault="00441605" w:rsidP="00441605">
      <w:pPr>
        <w:pStyle w:val="TOC2"/>
        <w:tabs>
          <w:tab w:val="left" w:pos="960"/>
          <w:tab w:val="right" w:leader="dot" w:pos="9350"/>
        </w:tabs>
        <w:spacing w:line="240" w:lineRule="auto"/>
        <w:rPr>
          <w:rFonts w:eastAsiaTheme="minorEastAsia"/>
          <w:noProof/>
          <w:sz w:val="22"/>
        </w:rPr>
      </w:pPr>
      <w:r w:rsidRPr="00441605">
        <w:rPr>
          <w:noProof/>
          <w:sz w:val="22"/>
        </w:rPr>
        <w:t>2.1</w:t>
      </w:r>
      <w:r w:rsidRPr="00441605">
        <w:rPr>
          <w:rFonts w:eastAsiaTheme="minorEastAsia"/>
          <w:noProof/>
          <w:sz w:val="22"/>
        </w:rPr>
        <w:tab/>
      </w:r>
      <w:r w:rsidRPr="00441605">
        <w:rPr>
          <w:noProof/>
          <w:sz w:val="22"/>
        </w:rPr>
        <w:t>Goal 1: Establishing an Institutional Mechanism for Skills Planning</w:t>
      </w:r>
      <w:r w:rsidRPr="00441605">
        <w:rPr>
          <w:noProof/>
          <w:sz w:val="22"/>
        </w:rPr>
        <w:tab/>
      </w:r>
      <w:r w:rsidRPr="00441605">
        <w:rPr>
          <w:noProof/>
          <w:sz w:val="22"/>
        </w:rPr>
        <w:fldChar w:fldCharType="begin"/>
      </w:r>
      <w:r w:rsidRPr="00441605">
        <w:rPr>
          <w:noProof/>
          <w:sz w:val="22"/>
        </w:rPr>
        <w:instrText xml:space="preserve"> PAGEREF _Toc488525869 \h </w:instrText>
      </w:r>
      <w:r w:rsidRPr="00441605">
        <w:rPr>
          <w:noProof/>
          <w:sz w:val="22"/>
        </w:rPr>
      </w:r>
      <w:r w:rsidRPr="00441605">
        <w:rPr>
          <w:noProof/>
          <w:sz w:val="22"/>
        </w:rPr>
        <w:fldChar w:fldCharType="separate"/>
      </w:r>
      <w:r>
        <w:rPr>
          <w:noProof/>
          <w:sz w:val="22"/>
        </w:rPr>
        <w:t>12</w:t>
      </w:r>
      <w:r w:rsidRPr="00441605">
        <w:rPr>
          <w:noProof/>
          <w:sz w:val="22"/>
        </w:rPr>
        <w:fldChar w:fldCharType="end"/>
      </w:r>
    </w:p>
    <w:p w14:paraId="4ED27448" w14:textId="77777777" w:rsidR="00441605" w:rsidRPr="00441605" w:rsidRDefault="00441605" w:rsidP="00441605">
      <w:pPr>
        <w:pStyle w:val="TOC2"/>
        <w:tabs>
          <w:tab w:val="left" w:pos="960"/>
          <w:tab w:val="right" w:leader="dot" w:pos="9350"/>
        </w:tabs>
        <w:spacing w:line="240" w:lineRule="auto"/>
        <w:rPr>
          <w:rFonts w:eastAsiaTheme="minorEastAsia"/>
          <w:noProof/>
          <w:sz w:val="22"/>
        </w:rPr>
      </w:pPr>
      <w:r w:rsidRPr="00441605">
        <w:rPr>
          <w:noProof/>
          <w:sz w:val="22"/>
        </w:rPr>
        <w:t>2.2</w:t>
      </w:r>
      <w:r w:rsidRPr="00441605">
        <w:rPr>
          <w:rFonts w:eastAsiaTheme="minorEastAsia"/>
          <w:noProof/>
          <w:sz w:val="22"/>
        </w:rPr>
        <w:tab/>
      </w:r>
      <w:r w:rsidRPr="00441605">
        <w:rPr>
          <w:noProof/>
          <w:sz w:val="22"/>
        </w:rPr>
        <w:t>Goal 2: Increasing Access to Occupationally-Directed Programmes</w:t>
      </w:r>
      <w:r w:rsidRPr="00441605">
        <w:rPr>
          <w:noProof/>
          <w:sz w:val="22"/>
        </w:rPr>
        <w:tab/>
      </w:r>
      <w:r w:rsidRPr="00441605">
        <w:rPr>
          <w:noProof/>
          <w:sz w:val="22"/>
        </w:rPr>
        <w:fldChar w:fldCharType="begin"/>
      </w:r>
      <w:r w:rsidRPr="00441605">
        <w:rPr>
          <w:noProof/>
          <w:sz w:val="22"/>
        </w:rPr>
        <w:instrText xml:space="preserve"> PAGEREF _Toc488525870 \h </w:instrText>
      </w:r>
      <w:r w:rsidRPr="00441605">
        <w:rPr>
          <w:noProof/>
          <w:sz w:val="22"/>
        </w:rPr>
      </w:r>
      <w:r w:rsidRPr="00441605">
        <w:rPr>
          <w:noProof/>
          <w:sz w:val="22"/>
        </w:rPr>
        <w:fldChar w:fldCharType="separate"/>
      </w:r>
      <w:r>
        <w:rPr>
          <w:noProof/>
          <w:sz w:val="22"/>
        </w:rPr>
        <w:t>15</w:t>
      </w:r>
      <w:r w:rsidRPr="00441605">
        <w:rPr>
          <w:noProof/>
          <w:sz w:val="22"/>
        </w:rPr>
        <w:fldChar w:fldCharType="end"/>
      </w:r>
    </w:p>
    <w:p w14:paraId="7AC3C73E" w14:textId="77777777" w:rsidR="00441605" w:rsidRPr="00441605" w:rsidRDefault="00441605" w:rsidP="00441605">
      <w:pPr>
        <w:pStyle w:val="TOC2"/>
        <w:tabs>
          <w:tab w:val="left" w:pos="960"/>
          <w:tab w:val="right" w:leader="dot" w:pos="9350"/>
        </w:tabs>
        <w:spacing w:line="240" w:lineRule="auto"/>
        <w:rPr>
          <w:rFonts w:eastAsiaTheme="minorEastAsia"/>
          <w:noProof/>
          <w:sz w:val="22"/>
        </w:rPr>
      </w:pPr>
      <w:r w:rsidRPr="00441605">
        <w:rPr>
          <w:noProof/>
          <w:sz w:val="22"/>
        </w:rPr>
        <w:t>2.3</w:t>
      </w:r>
      <w:r w:rsidRPr="00441605">
        <w:rPr>
          <w:rFonts w:eastAsiaTheme="minorEastAsia"/>
          <w:noProof/>
          <w:sz w:val="22"/>
        </w:rPr>
        <w:tab/>
      </w:r>
      <w:r w:rsidRPr="00441605">
        <w:rPr>
          <w:rFonts w:cstheme="minorHAnsi"/>
          <w:noProof/>
          <w:sz w:val="22"/>
        </w:rPr>
        <w:t xml:space="preserve">Goal 3: </w:t>
      </w:r>
      <w:r w:rsidRPr="00441605">
        <w:rPr>
          <w:noProof/>
          <w:sz w:val="22"/>
        </w:rPr>
        <w:t>Promoting the growth of a public FET college system that is responsive to sector, local, regional and national skills needs and priorities</w:t>
      </w:r>
      <w:r w:rsidRPr="00441605">
        <w:rPr>
          <w:noProof/>
          <w:sz w:val="22"/>
        </w:rPr>
        <w:tab/>
      </w:r>
      <w:r w:rsidRPr="00441605">
        <w:rPr>
          <w:noProof/>
          <w:sz w:val="22"/>
        </w:rPr>
        <w:fldChar w:fldCharType="begin"/>
      </w:r>
      <w:r w:rsidRPr="00441605">
        <w:rPr>
          <w:noProof/>
          <w:sz w:val="22"/>
        </w:rPr>
        <w:instrText xml:space="preserve"> PAGEREF _Toc488525871 \h </w:instrText>
      </w:r>
      <w:r w:rsidRPr="00441605">
        <w:rPr>
          <w:noProof/>
          <w:sz w:val="22"/>
        </w:rPr>
      </w:r>
      <w:r w:rsidRPr="00441605">
        <w:rPr>
          <w:noProof/>
          <w:sz w:val="22"/>
        </w:rPr>
        <w:fldChar w:fldCharType="separate"/>
      </w:r>
      <w:r>
        <w:rPr>
          <w:noProof/>
          <w:sz w:val="22"/>
        </w:rPr>
        <w:t>28</w:t>
      </w:r>
      <w:r w:rsidRPr="00441605">
        <w:rPr>
          <w:noProof/>
          <w:sz w:val="22"/>
        </w:rPr>
        <w:fldChar w:fldCharType="end"/>
      </w:r>
    </w:p>
    <w:p w14:paraId="43BF949A" w14:textId="77777777" w:rsidR="00441605" w:rsidRPr="00441605" w:rsidRDefault="00441605" w:rsidP="00441605">
      <w:pPr>
        <w:pStyle w:val="TOC2"/>
        <w:tabs>
          <w:tab w:val="left" w:pos="960"/>
          <w:tab w:val="right" w:leader="dot" w:pos="9350"/>
        </w:tabs>
        <w:spacing w:line="240" w:lineRule="auto"/>
        <w:rPr>
          <w:rFonts w:eastAsiaTheme="minorEastAsia"/>
          <w:noProof/>
          <w:sz w:val="22"/>
        </w:rPr>
      </w:pPr>
      <w:r w:rsidRPr="00441605">
        <w:rPr>
          <w:noProof/>
          <w:sz w:val="22"/>
        </w:rPr>
        <w:t>2.4</w:t>
      </w:r>
      <w:r w:rsidRPr="00441605">
        <w:rPr>
          <w:rFonts w:eastAsiaTheme="minorEastAsia"/>
          <w:noProof/>
          <w:sz w:val="22"/>
        </w:rPr>
        <w:tab/>
      </w:r>
      <w:r w:rsidRPr="00441605">
        <w:rPr>
          <w:rFonts w:cstheme="minorHAnsi"/>
          <w:noProof/>
          <w:sz w:val="22"/>
        </w:rPr>
        <w:t xml:space="preserve">Goal 4: </w:t>
      </w:r>
      <w:r w:rsidRPr="00441605">
        <w:rPr>
          <w:noProof/>
          <w:sz w:val="22"/>
        </w:rPr>
        <w:t>Addressing the low level of youth and adult language and numeracy skills to enable additional training</w:t>
      </w:r>
      <w:r w:rsidRPr="00441605">
        <w:rPr>
          <w:noProof/>
          <w:sz w:val="22"/>
        </w:rPr>
        <w:tab/>
      </w:r>
      <w:r w:rsidRPr="00441605">
        <w:rPr>
          <w:noProof/>
          <w:sz w:val="22"/>
        </w:rPr>
        <w:fldChar w:fldCharType="begin"/>
      </w:r>
      <w:r w:rsidRPr="00441605">
        <w:rPr>
          <w:noProof/>
          <w:sz w:val="22"/>
        </w:rPr>
        <w:instrText xml:space="preserve"> PAGEREF _Toc488525872 \h </w:instrText>
      </w:r>
      <w:r w:rsidRPr="00441605">
        <w:rPr>
          <w:noProof/>
          <w:sz w:val="22"/>
        </w:rPr>
      </w:r>
      <w:r w:rsidRPr="00441605">
        <w:rPr>
          <w:noProof/>
          <w:sz w:val="22"/>
        </w:rPr>
        <w:fldChar w:fldCharType="separate"/>
      </w:r>
      <w:r>
        <w:rPr>
          <w:noProof/>
          <w:sz w:val="22"/>
        </w:rPr>
        <w:t>35</w:t>
      </w:r>
      <w:r w:rsidRPr="00441605">
        <w:rPr>
          <w:noProof/>
          <w:sz w:val="22"/>
        </w:rPr>
        <w:fldChar w:fldCharType="end"/>
      </w:r>
    </w:p>
    <w:p w14:paraId="27B4B42F" w14:textId="77777777" w:rsidR="00441605" w:rsidRPr="00441605" w:rsidRDefault="00441605" w:rsidP="00441605">
      <w:pPr>
        <w:pStyle w:val="TOC2"/>
        <w:tabs>
          <w:tab w:val="left" w:pos="960"/>
          <w:tab w:val="right" w:leader="dot" w:pos="9350"/>
        </w:tabs>
        <w:spacing w:line="240" w:lineRule="auto"/>
        <w:rPr>
          <w:rFonts w:eastAsiaTheme="minorEastAsia"/>
          <w:noProof/>
          <w:sz w:val="22"/>
        </w:rPr>
      </w:pPr>
      <w:r w:rsidRPr="00441605">
        <w:rPr>
          <w:noProof/>
          <w:sz w:val="22"/>
        </w:rPr>
        <w:t>2.5</w:t>
      </w:r>
      <w:r w:rsidRPr="00441605">
        <w:rPr>
          <w:rFonts w:eastAsiaTheme="minorEastAsia"/>
          <w:noProof/>
          <w:sz w:val="22"/>
        </w:rPr>
        <w:tab/>
      </w:r>
      <w:r w:rsidRPr="00441605">
        <w:rPr>
          <w:noProof/>
          <w:sz w:val="22"/>
        </w:rPr>
        <w:t>Goal 5: Encouraging better use of workplace-based skills development</w:t>
      </w:r>
      <w:r w:rsidRPr="00441605">
        <w:rPr>
          <w:noProof/>
          <w:sz w:val="22"/>
        </w:rPr>
        <w:tab/>
      </w:r>
      <w:r w:rsidRPr="00441605">
        <w:rPr>
          <w:noProof/>
          <w:sz w:val="22"/>
        </w:rPr>
        <w:fldChar w:fldCharType="begin"/>
      </w:r>
      <w:r w:rsidRPr="00441605">
        <w:rPr>
          <w:noProof/>
          <w:sz w:val="22"/>
        </w:rPr>
        <w:instrText xml:space="preserve"> PAGEREF _Toc488525873 \h </w:instrText>
      </w:r>
      <w:r w:rsidRPr="00441605">
        <w:rPr>
          <w:noProof/>
          <w:sz w:val="22"/>
        </w:rPr>
      </w:r>
      <w:r w:rsidRPr="00441605">
        <w:rPr>
          <w:noProof/>
          <w:sz w:val="22"/>
        </w:rPr>
        <w:fldChar w:fldCharType="separate"/>
      </w:r>
      <w:r>
        <w:rPr>
          <w:noProof/>
          <w:sz w:val="22"/>
        </w:rPr>
        <w:t>37</w:t>
      </w:r>
      <w:r w:rsidRPr="00441605">
        <w:rPr>
          <w:noProof/>
          <w:sz w:val="22"/>
        </w:rPr>
        <w:fldChar w:fldCharType="end"/>
      </w:r>
    </w:p>
    <w:p w14:paraId="5A71398D" w14:textId="77777777" w:rsidR="00441605" w:rsidRPr="00441605" w:rsidRDefault="00441605" w:rsidP="00441605">
      <w:pPr>
        <w:pStyle w:val="TOC2"/>
        <w:tabs>
          <w:tab w:val="left" w:pos="960"/>
          <w:tab w:val="right" w:leader="dot" w:pos="9350"/>
        </w:tabs>
        <w:spacing w:line="240" w:lineRule="auto"/>
        <w:rPr>
          <w:rFonts w:eastAsiaTheme="minorEastAsia"/>
          <w:noProof/>
          <w:sz w:val="22"/>
        </w:rPr>
      </w:pPr>
      <w:r w:rsidRPr="00441605">
        <w:rPr>
          <w:noProof/>
          <w:sz w:val="22"/>
        </w:rPr>
        <w:t>2.6</w:t>
      </w:r>
      <w:r w:rsidRPr="00441605">
        <w:rPr>
          <w:rFonts w:eastAsiaTheme="minorEastAsia"/>
          <w:noProof/>
          <w:sz w:val="22"/>
        </w:rPr>
        <w:tab/>
      </w:r>
      <w:r w:rsidRPr="00441605">
        <w:rPr>
          <w:noProof/>
          <w:sz w:val="22"/>
        </w:rPr>
        <w:t>Goal 6: Encouraging and Supporting Cooperatives, Small Enterprises, Worker Initiated, NGO and Community Training Initiatives</w:t>
      </w:r>
      <w:r w:rsidRPr="00441605">
        <w:rPr>
          <w:noProof/>
          <w:sz w:val="22"/>
        </w:rPr>
        <w:tab/>
      </w:r>
      <w:r w:rsidRPr="00441605">
        <w:rPr>
          <w:noProof/>
          <w:sz w:val="22"/>
        </w:rPr>
        <w:fldChar w:fldCharType="begin"/>
      </w:r>
      <w:r w:rsidRPr="00441605">
        <w:rPr>
          <w:noProof/>
          <w:sz w:val="22"/>
        </w:rPr>
        <w:instrText xml:space="preserve"> PAGEREF _Toc488525874 \h </w:instrText>
      </w:r>
      <w:r w:rsidRPr="00441605">
        <w:rPr>
          <w:noProof/>
          <w:sz w:val="22"/>
        </w:rPr>
      </w:r>
      <w:r w:rsidRPr="00441605">
        <w:rPr>
          <w:noProof/>
          <w:sz w:val="22"/>
        </w:rPr>
        <w:fldChar w:fldCharType="separate"/>
      </w:r>
      <w:r>
        <w:rPr>
          <w:noProof/>
          <w:sz w:val="22"/>
        </w:rPr>
        <w:t>40</w:t>
      </w:r>
      <w:r w:rsidRPr="00441605">
        <w:rPr>
          <w:noProof/>
          <w:sz w:val="22"/>
        </w:rPr>
        <w:fldChar w:fldCharType="end"/>
      </w:r>
    </w:p>
    <w:p w14:paraId="44B9C531" w14:textId="77777777" w:rsidR="00441605" w:rsidRPr="00441605" w:rsidRDefault="00441605" w:rsidP="00441605">
      <w:pPr>
        <w:pStyle w:val="TOC2"/>
        <w:tabs>
          <w:tab w:val="left" w:pos="960"/>
          <w:tab w:val="right" w:leader="dot" w:pos="9350"/>
        </w:tabs>
        <w:spacing w:line="240" w:lineRule="auto"/>
        <w:rPr>
          <w:rFonts w:eastAsiaTheme="minorEastAsia"/>
          <w:noProof/>
          <w:sz w:val="22"/>
        </w:rPr>
      </w:pPr>
      <w:r w:rsidRPr="00441605">
        <w:rPr>
          <w:noProof/>
          <w:sz w:val="22"/>
        </w:rPr>
        <w:t>2.7</w:t>
      </w:r>
      <w:r w:rsidRPr="00441605">
        <w:rPr>
          <w:rFonts w:eastAsiaTheme="minorEastAsia"/>
          <w:noProof/>
          <w:sz w:val="22"/>
        </w:rPr>
        <w:tab/>
      </w:r>
      <w:r w:rsidRPr="00441605">
        <w:rPr>
          <w:rFonts w:eastAsia="Times New Roman" w:cstheme="minorHAnsi"/>
          <w:noProof/>
          <w:sz w:val="22"/>
          <w:lang w:val="en-ZA"/>
        </w:rPr>
        <w:t xml:space="preserve">Goal 7: </w:t>
      </w:r>
      <w:r w:rsidRPr="00441605">
        <w:rPr>
          <w:noProof/>
          <w:sz w:val="22"/>
        </w:rPr>
        <w:t>Increasing public sector capacity for improved service delivery and supporting the building of a developmental state</w:t>
      </w:r>
      <w:r w:rsidRPr="00441605">
        <w:rPr>
          <w:noProof/>
          <w:sz w:val="22"/>
        </w:rPr>
        <w:tab/>
      </w:r>
      <w:r w:rsidRPr="00441605">
        <w:rPr>
          <w:noProof/>
          <w:sz w:val="22"/>
        </w:rPr>
        <w:fldChar w:fldCharType="begin"/>
      </w:r>
      <w:r w:rsidRPr="00441605">
        <w:rPr>
          <w:noProof/>
          <w:sz w:val="22"/>
        </w:rPr>
        <w:instrText xml:space="preserve"> PAGEREF _Toc488525875 \h </w:instrText>
      </w:r>
      <w:r w:rsidRPr="00441605">
        <w:rPr>
          <w:noProof/>
          <w:sz w:val="22"/>
        </w:rPr>
      </w:r>
      <w:r w:rsidRPr="00441605">
        <w:rPr>
          <w:noProof/>
          <w:sz w:val="22"/>
        </w:rPr>
        <w:fldChar w:fldCharType="separate"/>
      </w:r>
      <w:r>
        <w:rPr>
          <w:noProof/>
          <w:sz w:val="22"/>
        </w:rPr>
        <w:t>48</w:t>
      </w:r>
      <w:r w:rsidRPr="00441605">
        <w:rPr>
          <w:noProof/>
          <w:sz w:val="22"/>
        </w:rPr>
        <w:fldChar w:fldCharType="end"/>
      </w:r>
    </w:p>
    <w:p w14:paraId="25CEC304" w14:textId="77777777" w:rsidR="00441605" w:rsidRPr="00441605" w:rsidRDefault="00441605" w:rsidP="00441605">
      <w:pPr>
        <w:pStyle w:val="TOC2"/>
        <w:tabs>
          <w:tab w:val="left" w:pos="960"/>
          <w:tab w:val="right" w:leader="dot" w:pos="9350"/>
        </w:tabs>
        <w:spacing w:line="240" w:lineRule="auto"/>
        <w:rPr>
          <w:rFonts w:eastAsiaTheme="minorEastAsia"/>
          <w:noProof/>
          <w:sz w:val="22"/>
        </w:rPr>
      </w:pPr>
      <w:r w:rsidRPr="00441605">
        <w:rPr>
          <w:rFonts w:eastAsia="Times New Roman"/>
          <w:noProof/>
          <w:sz w:val="22"/>
          <w:lang w:val="en-ZA"/>
        </w:rPr>
        <w:t>2.8</w:t>
      </w:r>
      <w:r w:rsidRPr="00441605">
        <w:rPr>
          <w:rFonts w:eastAsiaTheme="minorEastAsia"/>
          <w:noProof/>
          <w:sz w:val="22"/>
        </w:rPr>
        <w:tab/>
      </w:r>
      <w:r w:rsidRPr="00441605">
        <w:rPr>
          <w:rFonts w:eastAsia="Times New Roman"/>
          <w:noProof/>
          <w:sz w:val="22"/>
          <w:lang w:val="en-ZA"/>
        </w:rPr>
        <w:t>Goal 8: Build Career and Vocational Guidance</w:t>
      </w:r>
      <w:r w:rsidRPr="00441605">
        <w:rPr>
          <w:noProof/>
          <w:sz w:val="22"/>
        </w:rPr>
        <w:tab/>
      </w:r>
      <w:r w:rsidRPr="00441605">
        <w:rPr>
          <w:noProof/>
          <w:sz w:val="22"/>
        </w:rPr>
        <w:fldChar w:fldCharType="begin"/>
      </w:r>
      <w:r w:rsidRPr="00441605">
        <w:rPr>
          <w:noProof/>
          <w:sz w:val="22"/>
        </w:rPr>
        <w:instrText xml:space="preserve"> PAGEREF _Toc488525876 \h </w:instrText>
      </w:r>
      <w:r w:rsidRPr="00441605">
        <w:rPr>
          <w:noProof/>
          <w:sz w:val="22"/>
        </w:rPr>
      </w:r>
      <w:r w:rsidRPr="00441605">
        <w:rPr>
          <w:noProof/>
          <w:sz w:val="22"/>
        </w:rPr>
        <w:fldChar w:fldCharType="separate"/>
      </w:r>
      <w:r>
        <w:rPr>
          <w:noProof/>
          <w:sz w:val="22"/>
        </w:rPr>
        <w:t>52</w:t>
      </w:r>
      <w:r w:rsidRPr="00441605">
        <w:rPr>
          <w:noProof/>
          <w:sz w:val="22"/>
        </w:rPr>
        <w:fldChar w:fldCharType="end"/>
      </w:r>
    </w:p>
    <w:p w14:paraId="081C3E9B" w14:textId="77777777" w:rsidR="00441605" w:rsidRPr="00441605" w:rsidRDefault="00441605" w:rsidP="00441605">
      <w:pPr>
        <w:pStyle w:val="TOC1"/>
        <w:tabs>
          <w:tab w:val="left" w:pos="440"/>
          <w:tab w:val="right" w:leader="dot" w:pos="9350"/>
        </w:tabs>
        <w:spacing w:line="240" w:lineRule="auto"/>
        <w:rPr>
          <w:rFonts w:eastAsiaTheme="minorEastAsia"/>
          <w:noProof/>
          <w:sz w:val="22"/>
        </w:rPr>
      </w:pPr>
      <w:r w:rsidRPr="00441605">
        <w:rPr>
          <w:noProof/>
          <w:sz w:val="22"/>
        </w:rPr>
        <w:t>3</w:t>
      </w:r>
      <w:r w:rsidRPr="00441605">
        <w:rPr>
          <w:rFonts w:eastAsiaTheme="minorEastAsia"/>
          <w:noProof/>
          <w:sz w:val="22"/>
        </w:rPr>
        <w:tab/>
      </w:r>
      <w:r w:rsidRPr="00441605">
        <w:rPr>
          <w:noProof/>
          <w:sz w:val="22"/>
        </w:rPr>
        <w:t>SUMMARY OF FINDINGS</w:t>
      </w:r>
      <w:r w:rsidRPr="00441605">
        <w:rPr>
          <w:noProof/>
          <w:sz w:val="22"/>
        </w:rPr>
        <w:tab/>
      </w:r>
      <w:r w:rsidRPr="00441605">
        <w:rPr>
          <w:noProof/>
          <w:sz w:val="22"/>
        </w:rPr>
        <w:fldChar w:fldCharType="begin"/>
      </w:r>
      <w:r w:rsidRPr="00441605">
        <w:rPr>
          <w:noProof/>
          <w:sz w:val="22"/>
        </w:rPr>
        <w:instrText xml:space="preserve"> PAGEREF _Toc488525877 \h </w:instrText>
      </w:r>
      <w:r w:rsidRPr="00441605">
        <w:rPr>
          <w:noProof/>
          <w:sz w:val="22"/>
        </w:rPr>
      </w:r>
      <w:r w:rsidRPr="00441605">
        <w:rPr>
          <w:noProof/>
          <w:sz w:val="22"/>
        </w:rPr>
        <w:fldChar w:fldCharType="separate"/>
      </w:r>
      <w:r>
        <w:rPr>
          <w:noProof/>
          <w:sz w:val="22"/>
        </w:rPr>
        <w:t>55</w:t>
      </w:r>
      <w:r w:rsidRPr="00441605">
        <w:rPr>
          <w:noProof/>
          <w:sz w:val="22"/>
        </w:rPr>
        <w:fldChar w:fldCharType="end"/>
      </w:r>
    </w:p>
    <w:p w14:paraId="3E9A8518" w14:textId="77777777" w:rsidR="00441605" w:rsidRPr="00441605" w:rsidRDefault="00441605" w:rsidP="00441605">
      <w:pPr>
        <w:pStyle w:val="TOC2"/>
        <w:tabs>
          <w:tab w:val="left" w:pos="960"/>
          <w:tab w:val="right" w:leader="dot" w:pos="9350"/>
        </w:tabs>
        <w:spacing w:line="240" w:lineRule="auto"/>
        <w:rPr>
          <w:rFonts w:eastAsiaTheme="minorEastAsia"/>
          <w:noProof/>
          <w:sz w:val="22"/>
        </w:rPr>
      </w:pPr>
      <w:r w:rsidRPr="00441605">
        <w:rPr>
          <w:rFonts w:cstheme="minorHAnsi"/>
          <w:noProof/>
          <w:sz w:val="22"/>
        </w:rPr>
        <w:t>3.1</w:t>
      </w:r>
      <w:r w:rsidRPr="00441605">
        <w:rPr>
          <w:rFonts w:eastAsiaTheme="minorEastAsia"/>
          <w:noProof/>
          <w:sz w:val="22"/>
        </w:rPr>
        <w:tab/>
      </w:r>
      <w:r w:rsidRPr="00441605">
        <w:rPr>
          <w:noProof/>
          <w:sz w:val="22"/>
        </w:rPr>
        <w:t>Research and skills planning capacity</w:t>
      </w:r>
      <w:r w:rsidRPr="00441605">
        <w:rPr>
          <w:noProof/>
          <w:sz w:val="22"/>
        </w:rPr>
        <w:tab/>
      </w:r>
      <w:r w:rsidRPr="00441605">
        <w:rPr>
          <w:noProof/>
          <w:sz w:val="22"/>
        </w:rPr>
        <w:fldChar w:fldCharType="begin"/>
      </w:r>
      <w:r w:rsidRPr="00441605">
        <w:rPr>
          <w:noProof/>
          <w:sz w:val="22"/>
        </w:rPr>
        <w:instrText xml:space="preserve"> PAGEREF _Toc488525878 \h </w:instrText>
      </w:r>
      <w:r w:rsidRPr="00441605">
        <w:rPr>
          <w:noProof/>
          <w:sz w:val="22"/>
        </w:rPr>
      </w:r>
      <w:r w:rsidRPr="00441605">
        <w:rPr>
          <w:noProof/>
          <w:sz w:val="22"/>
        </w:rPr>
        <w:fldChar w:fldCharType="separate"/>
      </w:r>
      <w:r>
        <w:rPr>
          <w:noProof/>
          <w:sz w:val="22"/>
        </w:rPr>
        <w:t>55</w:t>
      </w:r>
      <w:r w:rsidRPr="00441605">
        <w:rPr>
          <w:noProof/>
          <w:sz w:val="22"/>
        </w:rPr>
        <w:fldChar w:fldCharType="end"/>
      </w:r>
    </w:p>
    <w:p w14:paraId="48F0B9D1" w14:textId="77777777" w:rsidR="00441605" w:rsidRPr="00441605" w:rsidRDefault="00441605" w:rsidP="00441605">
      <w:pPr>
        <w:pStyle w:val="TOC2"/>
        <w:tabs>
          <w:tab w:val="left" w:pos="960"/>
          <w:tab w:val="right" w:leader="dot" w:pos="9350"/>
        </w:tabs>
        <w:spacing w:line="240" w:lineRule="auto"/>
        <w:rPr>
          <w:rFonts w:eastAsiaTheme="minorEastAsia"/>
          <w:noProof/>
          <w:sz w:val="22"/>
        </w:rPr>
      </w:pPr>
      <w:r w:rsidRPr="00441605">
        <w:rPr>
          <w:noProof/>
          <w:sz w:val="22"/>
        </w:rPr>
        <w:t>3.2</w:t>
      </w:r>
      <w:r w:rsidRPr="00441605">
        <w:rPr>
          <w:rFonts w:eastAsiaTheme="minorEastAsia"/>
          <w:noProof/>
          <w:sz w:val="22"/>
        </w:rPr>
        <w:tab/>
      </w:r>
      <w:r w:rsidRPr="00441605">
        <w:rPr>
          <w:noProof/>
          <w:sz w:val="22"/>
        </w:rPr>
        <w:t>Middle level and artisan skills</w:t>
      </w:r>
      <w:r w:rsidRPr="00441605">
        <w:rPr>
          <w:noProof/>
          <w:sz w:val="22"/>
        </w:rPr>
        <w:tab/>
      </w:r>
      <w:r w:rsidRPr="00441605">
        <w:rPr>
          <w:noProof/>
          <w:sz w:val="22"/>
        </w:rPr>
        <w:fldChar w:fldCharType="begin"/>
      </w:r>
      <w:r w:rsidRPr="00441605">
        <w:rPr>
          <w:noProof/>
          <w:sz w:val="22"/>
        </w:rPr>
        <w:instrText xml:space="preserve"> PAGEREF _Toc488525879 \h </w:instrText>
      </w:r>
      <w:r w:rsidRPr="00441605">
        <w:rPr>
          <w:noProof/>
          <w:sz w:val="22"/>
        </w:rPr>
      </w:r>
      <w:r w:rsidRPr="00441605">
        <w:rPr>
          <w:noProof/>
          <w:sz w:val="22"/>
        </w:rPr>
        <w:fldChar w:fldCharType="separate"/>
      </w:r>
      <w:r>
        <w:rPr>
          <w:noProof/>
          <w:sz w:val="22"/>
        </w:rPr>
        <w:t>55</w:t>
      </w:r>
      <w:r w:rsidRPr="00441605">
        <w:rPr>
          <w:noProof/>
          <w:sz w:val="22"/>
        </w:rPr>
        <w:fldChar w:fldCharType="end"/>
      </w:r>
    </w:p>
    <w:p w14:paraId="5615676F" w14:textId="77777777" w:rsidR="00441605" w:rsidRPr="00441605" w:rsidRDefault="00441605" w:rsidP="00441605">
      <w:pPr>
        <w:pStyle w:val="TOC2"/>
        <w:tabs>
          <w:tab w:val="left" w:pos="960"/>
          <w:tab w:val="right" w:leader="dot" w:pos="9350"/>
        </w:tabs>
        <w:spacing w:line="240" w:lineRule="auto"/>
        <w:rPr>
          <w:rFonts w:eastAsiaTheme="minorEastAsia"/>
          <w:noProof/>
          <w:sz w:val="22"/>
        </w:rPr>
      </w:pPr>
      <w:r w:rsidRPr="00441605">
        <w:rPr>
          <w:noProof/>
          <w:sz w:val="22"/>
        </w:rPr>
        <w:t>3.3</w:t>
      </w:r>
      <w:r w:rsidRPr="00441605">
        <w:rPr>
          <w:rFonts w:eastAsiaTheme="minorEastAsia"/>
          <w:noProof/>
          <w:sz w:val="22"/>
        </w:rPr>
        <w:tab/>
      </w:r>
      <w:r w:rsidRPr="00441605">
        <w:rPr>
          <w:noProof/>
          <w:sz w:val="22"/>
        </w:rPr>
        <w:t>Public FET colleges and skills</w:t>
      </w:r>
      <w:r w:rsidRPr="00441605">
        <w:rPr>
          <w:noProof/>
          <w:sz w:val="22"/>
        </w:rPr>
        <w:tab/>
      </w:r>
      <w:r w:rsidRPr="00441605">
        <w:rPr>
          <w:noProof/>
          <w:sz w:val="22"/>
        </w:rPr>
        <w:fldChar w:fldCharType="begin"/>
      </w:r>
      <w:r w:rsidRPr="00441605">
        <w:rPr>
          <w:noProof/>
          <w:sz w:val="22"/>
        </w:rPr>
        <w:instrText xml:space="preserve"> PAGEREF _Toc488525880 \h </w:instrText>
      </w:r>
      <w:r w:rsidRPr="00441605">
        <w:rPr>
          <w:noProof/>
          <w:sz w:val="22"/>
        </w:rPr>
      </w:r>
      <w:r w:rsidRPr="00441605">
        <w:rPr>
          <w:noProof/>
          <w:sz w:val="22"/>
        </w:rPr>
        <w:fldChar w:fldCharType="separate"/>
      </w:r>
      <w:r>
        <w:rPr>
          <w:noProof/>
          <w:sz w:val="22"/>
        </w:rPr>
        <w:t>55</w:t>
      </w:r>
      <w:r w:rsidRPr="00441605">
        <w:rPr>
          <w:noProof/>
          <w:sz w:val="22"/>
        </w:rPr>
        <w:fldChar w:fldCharType="end"/>
      </w:r>
    </w:p>
    <w:p w14:paraId="0E2DE55E" w14:textId="77777777" w:rsidR="00441605" w:rsidRPr="00441605" w:rsidRDefault="00441605" w:rsidP="00441605">
      <w:pPr>
        <w:pStyle w:val="TOC2"/>
        <w:tabs>
          <w:tab w:val="left" w:pos="960"/>
          <w:tab w:val="right" w:leader="dot" w:pos="9350"/>
        </w:tabs>
        <w:spacing w:line="240" w:lineRule="auto"/>
        <w:rPr>
          <w:rFonts w:eastAsiaTheme="minorEastAsia"/>
          <w:noProof/>
          <w:sz w:val="22"/>
        </w:rPr>
      </w:pPr>
      <w:r w:rsidRPr="00441605">
        <w:rPr>
          <w:noProof/>
          <w:sz w:val="22"/>
        </w:rPr>
        <w:t>3.4</w:t>
      </w:r>
      <w:r w:rsidRPr="00441605">
        <w:rPr>
          <w:rFonts w:eastAsiaTheme="minorEastAsia"/>
          <w:noProof/>
          <w:sz w:val="22"/>
        </w:rPr>
        <w:tab/>
      </w:r>
      <w:r w:rsidRPr="00441605">
        <w:rPr>
          <w:noProof/>
          <w:sz w:val="22"/>
        </w:rPr>
        <w:t>Partnerships and Collaborations</w:t>
      </w:r>
      <w:r w:rsidRPr="00441605">
        <w:rPr>
          <w:noProof/>
          <w:sz w:val="22"/>
        </w:rPr>
        <w:tab/>
      </w:r>
      <w:r w:rsidRPr="00441605">
        <w:rPr>
          <w:noProof/>
          <w:sz w:val="22"/>
        </w:rPr>
        <w:fldChar w:fldCharType="begin"/>
      </w:r>
      <w:r w:rsidRPr="00441605">
        <w:rPr>
          <w:noProof/>
          <w:sz w:val="22"/>
        </w:rPr>
        <w:instrText xml:space="preserve"> PAGEREF _Toc488525881 \h </w:instrText>
      </w:r>
      <w:r w:rsidRPr="00441605">
        <w:rPr>
          <w:noProof/>
          <w:sz w:val="22"/>
        </w:rPr>
      </w:r>
      <w:r w:rsidRPr="00441605">
        <w:rPr>
          <w:noProof/>
          <w:sz w:val="22"/>
        </w:rPr>
        <w:fldChar w:fldCharType="separate"/>
      </w:r>
      <w:r>
        <w:rPr>
          <w:noProof/>
          <w:sz w:val="22"/>
        </w:rPr>
        <w:t>56</w:t>
      </w:r>
      <w:r w:rsidRPr="00441605">
        <w:rPr>
          <w:noProof/>
          <w:sz w:val="22"/>
        </w:rPr>
        <w:fldChar w:fldCharType="end"/>
      </w:r>
    </w:p>
    <w:p w14:paraId="11C50B09" w14:textId="77777777" w:rsidR="00441605" w:rsidRPr="00441605" w:rsidRDefault="00441605" w:rsidP="00441605">
      <w:pPr>
        <w:pStyle w:val="TOC2"/>
        <w:tabs>
          <w:tab w:val="left" w:pos="960"/>
          <w:tab w:val="right" w:leader="dot" w:pos="9350"/>
        </w:tabs>
        <w:spacing w:line="240" w:lineRule="auto"/>
        <w:rPr>
          <w:rFonts w:eastAsiaTheme="minorEastAsia"/>
          <w:noProof/>
          <w:sz w:val="22"/>
        </w:rPr>
      </w:pPr>
      <w:r w:rsidRPr="00441605">
        <w:rPr>
          <w:rFonts w:cstheme="minorHAnsi"/>
          <w:noProof/>
          <w:sz w:val="22"/>
        </w:rPr>
        <w:t>3.5</w:t>
      </w:r>
      <w:r w:rsidRPr="00441605">
        <w:rPr>
          <w:rFonts w:eastAsiaTheme="minorEastAsia"/>
          <w:noProof/>
          <w:sz w:val="22"/>
        </w:rPr>
        <w:tab/>
      </w:r>
      <w:r w:rsidRPr="00441605">
        <w:rPr>
          <w:noProof/>
          <w:sz w:val="22"/>
        </w:rPr>
        <w:t>Youth</w:t>
      </w:r>
      <w:r w:rsidRPr="00441605">
        <w:rPr>
          <w:noProof/>
          <w:sz w:val="22"/>
        </w:rPr>
        <w:tab/>
      </w:r>
      <w:r w:rsidRPr="00441605">
        <w:rPr>
          <w:noProof/>
          <w:sz w:val="22"/>
        </w:rPr>
        <w:fldChar w:fldCharType="begin"/>
      </w:r>
      <w:r w:rsidRPr="00441605">
        <w:rPr>
          <w:noProof/>
          <w:sz w:val="22"/>
        </w:rPr>
        <w:instrText xml:space="preserve"> PAGEREF _Toc488525882 \h </w:instrText>
      </w:r>
      <w:r w:rsidRPr="00441605">
        <w:rPr>
          <w:noProof/>
          <w:sz w:val="22"/>
        </w:rPr>
      </w:r>
      <w:r w:rsidRPr="00441605">
        <w:rPr>
          <w:noProof/>
          <w:sz w:val="22"/>
        </w:rPr>
        <w:fldChar w:fldCharType="separate"/>
      </w:r>
      <w:r>
        <w:rPr>
          <w:noProof/>
          <w:sz w:val="22"/>
        </w:rPr>
        <w:t>56</w:t>
      </w:r>
      <w:r w:rsidRPr="00441605">
        <w:rPr>
          <w:noProof/>
          <w:sz w:val="22"/>
        </w:rPr>
        <w:fldChar w:fldCharType="end"/>
      </w:r>
    </w:p>
    <w:p w14:paraId="4F452179" w14:textId="77777777" w:rsidR="00441605" w:rsidRPr="00441605" w:rsidRDefault="00441605" w:rsidP="00441605">
      <w:pPr>
        <w:pStyle w:val="TOC2"/>
        <w:tabs>
          <w:tab w:val="left" w:pos="960"/>
          <w:tab w:val="right" w:leader="dot" w:pos="9350"/>
        </w:tabs>
        <w:spacing w:line="240" w:lineRule="auto"/>
        <w:rPr>
          <w:rFonts w:eastAsiaTheme="minorEastAsia"/>
          <w:noProof/>
          <w:sz w:val="22"/>
        </w:rPr>
      </w:pPr>
      <w:r w:rsidRPr="00441605">
        <w:rPr>
          <w:rFonts w:cstheme="minorHAnsi"/>
          <w:noProof/>
          <w:sz w:val="22"/>
        </w:rPr>
        <w:t>3.6</w:t>
      </w:r>
      <w:r w:rsidRPr="00441605">
        <w:rPr>
          <w:rFonts w:eastAsiaTheme="minorEastAsia"/>
          <w:noProof/>
          <w:sz w:val="22"/>
        </w:rPr>
        <w:tab/>
      </w:r>
      <w:r w:rsidRPr="00441605">
        <w:rPr>
          <w:noProof/>
          <w:sz w:val="22"/>
        </w:rPr>
        <w:t>Support to SMMEs, CBO, NPO and constituent partners</w:t>
      </w:r>
      <w:r w:rsidRPr="00441605">
        <w:rPr>
          <w:noProof/>
          <w:sz w:val="22"/>
        </w:rPr>
        <w:tab/>
      </w:r>
      <w:r w:rsidRPr="00441605">
        <w:rPr>
          <w:noProof/>
          <w:sz w:val="22"/>
        </w:rPr>
        <w:fldChar w:fldCharType="begin"/>
      </w:r>
      <w:r w:rsidRPr="00441605">
        <w:rPr>
          <w:noProof/>
          <w:sz w:val="22"/>
        </w:rPr>
        <w:instrText xml:space="preserve"> PAGEREF _Toc488525883 \h </w:instrText>
      </w:r>
      <w:r w:rsidRPr="00441605">
        <w:rPr>
          <w:noProof/>
          <w:sz w:val="22"/>
        </w:rPr>
      </w:r>
      <w:r w:rsidRPr="00441605">
        <w:rPr>
          <w:noProof/>
          <w:sz w:val="22"/>
        </w:rPr>
        <w:fldChar w:fldCharType="separate"/>
      </w:r>
      <w:r>
        <w:rPr>
          <w:noProof/>
          <w:sz w:val="22"/>
        </w:rPr>
        <w:t>57</w:t>
      </w:r>
      <w:r w:rsidRPr="00441605">
        <w:rPr>
          <w:noProof/>
          <w:sz w:val="22"/>
        </w:rPr>
        <w:fldChar w:fldCharType="end"/>
      </w:r>
    </w:p>
    <w:p w14:paraId="2A220A8E" w14:textId="77777777" w:rsidR="00441605" w:rsidRPr="00441605" w:rsidRDefault="00441605" w:rsidP="00441605">
      <w:pPr>
        <w:pStyle w:val="TOC2"/>
        <w:tabs>
          <w:tab w:val="left" w:pos="960"/>
          <w:tab w:val="right" w:leader="dot" w:pos="9350"/>
        </w:tabs>
        <w:spacing w:line="240" w:lineRule="auto"/>
        <w:rPr>
          <w:rFonts w:eastAsiaTheme="minorEastAsia"/>
          <w:noProof/>
          <w:sz w:val="22"/>
        </w:rPr>
      </w:pPr>
      <w:r w:rsidRPr="00441605">
        <w:rPr>
          <w:noProof/>
          <w:sz w:val="22"/>
        </w:rPr>
        <w:t>3.7</w:t>
      </w:r>
      <w:r w:rsidRPr="00441605">
        <w:rPr>
          <w:rFonts w:eastAsiaTheme="minorEastAsia"/>
          <w:noProof/>
          <w:sz w:val="22"/>
        </w:rPr>
        <w:tab/>
      </w:r>
      <w:r w:rsidRPr="00441605">
        <w:rPr>
          <w:noProof/>
          <w:sz w:val="22"/>
        </w:rPr>
        <w:t>The public service</w:t>
      </w:r>
      <w:r w:rsidRPr="00441605">
        <w:rPr>
          <w:noProof/>
          <w:sz w:val="22"/>
        </w:rPr>
        <w:tab/>
      </w:r>
      <w:r w:rsidRPr="00441605">
        <w:rPr>
          <w:noProof/>
          <w:sz w:val="22"/>
        </w:rPr>
        <w:fldChar w:fldCharType="begin"/>
      </w:r>
      <w:r w:rsidRPr="00441605">
        <w:rPr>
          <w:noProof/>
          <w:sz w:val="22"/>
        </w:rPr>
        <w:instrText xml:space="preserve"> PAGEREF _Toc488525884 \h </w:instrText>
      </w:r>
      <w:r w:rsidRPr="00441605">
        <w:rPr>
          <w:noProof/>
          <w:sz w:val="22"/>
        </w:rPr>
      </w:r>
      <w:r w:rsidRPr="00441605">
        <w:rPr>
          <w:noProof/>
          <w:sz w:val="22"/>
        </w:rPr>
        <w:fldChar w:fldCharType="separate"/>
      </w:r>
      <w:r>
        <w:rPr>
          <w:noProof/>
          <w:sz w:val="22"/>
        </w:rPr>
        <w:t>57</w:t>
      </w:r>
      <w:r w:rsidRPr="00441605">
        <w:rPr>
          <w:noProof/>
          <w:sz w:val="22"/>
        </w:rPr>
        <w:fldChar w:fldCharType="end"/>
      </w:r>
    </w:p>
    <w:p w14:paraId="76FBBD21" w14:textId="77777777" w:rsidR="00441605" w:rsidRPr="00441605" w:rsidRDefault="00441605" w:rsidP="00441605">
      <w:pPr>
        <w:pStyle w:val="TOC2"/>
        <w:tabs>
          <w:tab w:val="left" w:pos="960"/>
          <w:tab w:val="right" w:leader="dot" w:pos="9350"/>
        </w:tabs>
        <w:spacing w:line="240" w:lineRule="auto"/>
        <w:rPr>
          <w:rFonts w:eastAsiaTheme="minorEastAsia"/>
          <w:noProof/>
          <w:sz w:val="22"/>
        </w:rPr>
      </w:pPr>
      <w:r w:rsidRPr="00441605">
        <w:rPr>
          <w:noProof/>
          <w:sz w:val="22"/>
        </w:rPr>
        <w:t>3.8</w:t>
      </w:r>
      <w:r w:rsidRPr="00441605">
        <w:rPr>
          <w:rFonts w:eastAsiaTheme="minorEastAsia"/>
          <w:noProof/>
          <w:sz w:val="22"/>
        </w:rPr>
        <w:tab/>
      </w:r>
      <w:r w:rsidRPr="00441605">
        <w:rPr>
          <w:noProof/>
          <w:sz w:val="22"/>
        </w:rPr>
        <w:t>Career development</w:t>
      </w:r>
      <w:r w:rsidRPr="00441605">
        <w:rPr>
          <w:noProof/>
          <w:sz w:val="22"/>
        </w:rPr>
        <w:tab/>
      </w:r>
      <w:r w:rsidRPr="00441605">
        <w:rPr>
          <w:noProof/>
          <w:sz w:val="22"/>
        </w:rPr>
        <w:fldChar w:fldCharType="begin"/>
      </w:r>
      <w:r w:rsidRPr="00441605">
        <w:rPr>
          <w:noProof/>
          <w:sz w:val="22"/>
        </w:rPr>
        <w:instrText xml:space="preserve"> PAGEREF _Toc488525885 \h </w:instrText>
      </w:r>
      <w:r w:rsidRPr="00441605">
        <w:rPr>
          <w:noProof/>
          <w:sz w:val="22"/>
        </w:rPr>
      </w:r>
      <w:r w:rsidRPr="00441605">
        <w:rPr>
          <w:noProof/>
          <w:sz w:val="22"/>
        </w:rPr>
        <w:fldChar w:fldCharType="separate"/>
      </w:r>
      <w:r>
        <w:rPr>
          <w:noProof/>
          <w:sz w:val="22"/>
        </w:rPr>
        <w:t>58</w:t>
      </w:r>
      <w:r w:rsidRPr="00441605">
        <w:rPr>
          <w:noProof/>
          <w:sz w:val="22"/>
        </w:rPr>
        <w:fldChar w:fldCharType="end"/>
      </w:r>
    </w:p>
    <w:p w14:paraId="32938922" w14:textId="77777777" w:rsidR="00441605" w:rsidRPr="00441605" w:rsidRDefault="00441605" w:rsidP="00441605">
      <w:pPr>
        <w:pStyle w:val="TOC2"/>
        <w:tabs>
          <w:tab w:val="left" w:pos="960"/>
          <w:tab w:val="right" w:leader="dot" w:pos="9350"/>
        </w:tabs>
        <w:spacing w:line="240" w:lineRule="auto"/>
        <w:rPr>
          <w:rFonts w:eastAsiaTheme="minorEastAsia"/>
          <w:noProof/>
          <w:sz w:val="22"/>
        </w:rPr>
      </w:pPr>
      <w:r w:rsidRPr="00441605">
        <w:rPr>
          <w:noProof/>
          <w:sz w:val="22"/>
        </w:rPr>
        <w:t>3.9</w:t>
      </w:r>
      <w:r w:rsidRPr="00441605">
        <w:rPr>
          <w:rFonts w:eastAsiaTheme="minorEastAsia"/>
          <w:noProof/>
          <w:sz w:val="22"/>
        </w:rPr>
        <w:tab/>
      </w:r>
      <w:r w:rsidRPr="00441605">
        <w:rPr>
          <w:noProof/>
          <w:sz w:val="22"/>
        </w:rPr>
        <w:t>Data</w:t>
      </w:r>
      <w:r w:rsidRPr="00441605">
        <w:rPr>
          <w:noProof/>
          <w:sz w:val="22"/>
        </w:rPr>
        <w:tab/>
      </w:r>
      <w:r w:rsidRPr="00441605">
        <w:rPr>
          <w:noProof/>
          <w:sz w:val="22"/>
        </w:rPr>
        <w:fldChar w:fldCharType="begin"/>
      </w:r>
      <w:r w:rsidRPr="00441605">
        <w:rPr>
          <w:noProof/>
          <w:sz w:val="22"/>
        </w:rPr>
        <w:instrText xml:space="preserve"> PAGEREF _Toc488525886 \h </w:instrText>
      </w:r>
      <w:r w:rsidRPr="00441605">
        <w:rPr>
          <w:noProof/>
          <w:sz w:val="22"/>
        </w:rPr>
      </w:r>
      <w:r w:rsidRPr="00441605">
        <w:rPr>
          <w:noProof/>
          <w:sz w:val="22"/>
        </w:rPr>
        <w:fldChar w:fldCharType="separate"/>
      </w:r>
      <w:r>
        <w:rPr>
          <w:noProof/>
          <w:sz w:val="22"/>
        </w:rPr>
        <w:t>58</w:t>
      </w:r>
      <w:r w:rsidRPr="00441605">
        <w:rPr>
          <w:noProof/>
          <w:sz w:val="22"/>
        </w:rPr>
        <w:fldChar w:fldCharType="end"/>
      </w:r>
    </w:p>
    <w:p w14:paraId="6100B7CA" w14:textId="77777777" w:rsidR="00441605" w:rsidRPr="00441605" w:rsidRDefault="00441605" w:rsidP="00441605">
      <w:pPr>
        <w:pStyle w:val="TOC1"/>
        <w:tabs>
          <w:tab w:val="left" w:pos="440"/>
          <w:tab w:val="right" w:leader="dot" w:pos="9350"/>
        </w:tabs>
        <w:spacing w:line="240" w:lineRule="auto"/>
        <w:rPr>
          <w:rFonts w:eastAsiaTheme="minorEastAsia"/>
          <w:noProof/>
          <w:sz w:val="22"/>
        </w:rPr>
      </w:pPr>
      <w:r w:rsidRPr="00441605">
        <w:rPr>
          <w:noProof/>
          <w:sz w:val="22"/>
        </w:rPr>
        <w:t>4</w:t>
      </w:r>
      <w:r w:rsidRPr="00441605">
        <w:rPr>
          <w:rFonts w:eastAsiaTheme="minorEastAsia"/>
          <w:noProof/>
          <w:sz w:val="22"/>
        </w:rPr>
        <w:tab/>
      </w:r>
      <w:r w:rsidRPr="00441605">
        <w:rPr>
          <w:noProof/>
          <w:sz w:val="22"/>
        </w:rPr>
        <w:t>REFERENCES</w:t>
      </w:r>
      <w:r w:rsidRPr="00441605">
        <w:rPr>
          <w:noProof/>
          <w:sz w:val="22"/>
        </w:rPr>
        <w:tab/>
      </w:r>
      <w:r w:rsidRPr="00441605">
        <w:rPr>
          <w:noProof/>
          <w:sz w:val="22"/>
        </w:rPr>
        <w:fldChar w:fldCharType="begin"/>
      </w:r>
      <w:r w:rsidRPr="00441605">
        <w:rPr>
          <w:noProof/>
          <w:sz w:val="22"/>
        </w:rPr>
        <w:instrText xml:space="preserve"> PAGEREF _Toc488525887 \h </w:instrText>
      </w:r>
      <w:r w:rsidRPr="00441605">
        <w:rPr>
          <w:noProof/>
          <w:sz w:val="22"/>
        </w:rPr>
      </w:r>
      <w:r w:rsidRPr="00441605">
        <w:rPr>
          <w:noProof/>
          <w:sz w:val="22"/>
        </w:rPr>
        <w:fldChar w:fldCharType="separate"/>
      </w:r>
      <w:r>
        <w:rPr>
          <w:noProof/>
          <w:sz w:val="22"/>
        </w:rPr>
        <w:t>59</w:t>
      </w:r>
      <w:r w:rsidRPr="00441605">
        <w:rPr>
          <w:noProof/>
          <w:sz w:val="22"/>
        </w:rPr>
        <w:fldChar w:fldCharType="end"/>
      </w:r>
    </w:p>
    <w:p w14:paraId="7397A36F" w14:textId="77777777" w:rsidR="00876280" w:rsidRPr="00441605" w:rsidRDefault="00B97113" w:rsidP="00441605">
      <w:pPr>
        <w:spacing w:line="240" w:lineRule="auto"/>
        <w:rPr>
          <w:rFonts w:eastAsiaTheme="majorEastAsia"/>
          <w:b/>
          <w:bCs/>
          <w:color w:val="365F91" w:themeColor="accent1" w:themeShade="BF"/>
          <w:sz w:val="22"/>
        </w:rPr>
      </w:pPr>
      <w:r w:rsidRPr="00441605">
        <w:rPr>
          <w:sz w:val="22"/>
        </w:rPr>
        <w:fldChar w:fldCharType="end"/>
      </w:r>
      <w:r w:rsidR="00876280" w:rsidRPr="00441605">
        <w:rPr>
          <w:sz w:val="22"/>
        </w:rPr>
        <w:br w:type="page"/>
      </w:r>
    </w:p>
    <w:p w14:paraId="1B65DE79" w14:textId="77777777" w:rsidR="0011523E" w:rsidRPr="00AA4BA0" w:rsidRDefault="0011523E" w:rsidP="008C07CF">
      <w:pPr>
        <w:pStyle w:val="Heading1"/>
        <w:numPr>
          <w:ilvl w:val="0"/>
          <w:numId w:val="0"/>
        </w:numPr>
        <w:ind w:left="432" w:hanging="432"/>
      </w:pPr>
      <w:bookmarkStart w:id="1" w:name="_Toc486285885"/>
      <w:bookmarkStart w:id="2" w:name="_Toc486899619"/>
      <w:bookmarkStart w:id="3" w:name="_Toc488525859"/>
      <w:bookmarkStart w:id="4" w:name="_Toc482985105"/>
      <w:bookmarkStart w:id="5" w:name="_Toc482985101"/>
      <w:r w:rsidRPr="00136250">
        <w:lastRenderedPageBreak/>
        <w:t>ABBREVIATIONS AND ACRONYMS</w:t>
      </w:r>
      <w:bookmarkEnd w:id="1"/>
      <w:bookmarkEnd w:id="2"/>
      <w:bookmarkEnd w:id="3"/>
    </w:p>
    <w:p w14:paraId="2E149941" w14:textId="77777777" w:rsidR="000537CC" w:rsidRDefault="000537CC" w:rsidP="008C07CF">
      <w:pPr>
        <w:spacing w:line="240" w:lineRule="auto"/>
      </w:pPr>
      <w:r>
        <w:t>APP</w:t>
      </w:r>
      <w:r>
        <w:tab/>
      </w:r>
      <w:r>
        <w:tab/>
        <w:t>Annual Performance Plan</w:t>
      </w:r>
    </w:p>
    <w:p w14:paraId="67482F86" w14:textId="77777777" w:rsidR="000537CC" w:rsidRDefault="000537CC" w:rsidP="008C07CF">
      <w:pPr>
        <w:spacing w:line="240" w:lineRule="auto"/>
      </w:pPr>
      <w:r>
        <w:t>ATR</w:t>
      </w:r>
      <w:r>
        <w:tab/>
      </w:r>
      <w:r>
        <w:tab/>
        <w:t>Annual Training Report</w:t>
      </w:r>
    </w:p>
    <w:p w14:paraId="57540A82" w14:textId="77777777" w:rsidR="000537CC" w:rsidRPr="00AA4BA0" w:rsidRDefault="000537CC" w:rsidP="008C07CF">
      <w:pPr>
        <w:spacing w:line="240" w:lineRule="auto"/>
      </w:pPr>
      <w:r w:rsidRPr="00AA4BA0">
        <w:t>CBO</w:t>
      </w:r>
      <w:r w:rsidRPr="00AA4BA0">
        <w:tab/>
      </w:r>
      <w:r w:rsidRPr="00AA4BA0">
        <w:tab/>
        <w:t xml:space="preserve">Community-Based </w:t>
      </w:r>
      <w:proofErr w:type="spellStart"/>
      <w:r w:rsidRPr="00AA4BA0">
        <w:t>Organisation</w:t>
      </w:r>
      <w:proofErr w:type="spellEnd"/>
    </w:p>
    <w:p w14:paraId="4E240D78" w14:textId="77777777" w:rsidR="000537CC" w:rsidRDefault="000537CC" w:rsidP="008C07CF">
      <w:pPr>
        <w:spacing w:line="240" w:lineRule="auto"/>
      </w:pPr>
      <w:r>
        <w:t>CPA</w:t>
      </w:r>
      <w:r>
        <w:tab/>
      </w:r>
      <w:r>
        <w:tab/>
      </w:r>
      <w:r w:rsidR="00C131E4">
        <w:t>Communal</w:t>
      </w:r>
      <w:r>
        <w:t xml:space="preserve"> Property Association</w:t>
      </w:r>
    </w:p>
    <w:p w14:paraId="5825922E" w14:textId="77777777" w:rsidR="000537CC" w:rsidRDefault="000537CC" w:rsidP="008C07CF">
      <w:pPr>
        <w:spacing w:line="240" w:lineRule="auto"/>
      </w:pPr>
      <w:r>
        <w:t>DAFF</w:t>
      </w:r>
      <w:r>
        <w:tab/>
      </w:r>
      <w:r>
        <w:tab/>
        <w:t>Department of Agriculture, Forestry and Fisheries</w:t>
      </w:r>
    </w:p>
    <w:p w14:paraId="3465C388" w14:textId="77777777" w:rsidR="000537CC" w:rsidRDefault="000537CC" w:rsidP="008C07CF">
      <w:pPr>
        <w:spacing w:line="240" w:lineRule="auto"/>
      </w:pPr>
      <w:r w:rsidRPr="00AA4BA0">
        <w:t>DHET</w:t>
      </w:r>
      <w:r w:rsidRPr="00AA4BA0">
        <w:tab/>
      </w:r>
      <w:r w:rsidRPr="00AA4BA0">
        <w:tab/>
        <w:t>Department of Higher Education and Training</w:t>
      </w:r>
    </w:p>
    <w:p w14:paraId="3F0B038F" w14:textId="77777777" w:rsidR="000537CC" w:rsidRPr="00AA4BA0" w:rsidRDefault="000537CC" w:rsidP="008C07CF">
      <w:pPr>
        <w:spacing w:line="240" w:lineRule="auto"/>
      </w:pPr>
      <w:r>
        <w:t>DOA</w:t>
      </w:r>
      <w:r>
        <w:tab/>
      </w:r>
      <w:r>
        <w:tab/>
        <w:t xml:space="preserve">Department of Home Affairs </w:t>
      </w:r>
    </w:p>
    <w:p w14:paraId="249465E9" w14:textId="77777777" w:rsidR="000537CC" w:rsidRDefault="000537CC" w:rsidP="008C07CF">
      <w:pPr>
        <w:spacing w:line="240" w:lineRule="auto"/>
      </w:pPr>
      <w:r>
        <w:t>DoE</w:t>
      </w:r>
      <w:r>
        <w:tab/>
      </w:r>
      <w:r>
        <w:tab/>
        <w:t>Department of Education</w:t>
      </w:r>
    </w:p>
    <w:p w14:paraId="6C1650C4" w14:textId="77777777" w:rsidR="000537CC" w:rsidRDefault="000537CC" w:rsidP="008C07CF">
      <w:pPr>
        <w:spacing w:line="240" w:lineRule="auto"/>
      </w:pPr>
      <w:r>
        <w:t>DOH</w:t>
      </w:r>
      <w:r>
        <w:tab/>
      </w:r>
      <w:r>
        <w:tab/>
        <w:t>Department of Health</w:t>
      </w:r>
    </w:p>
    <w:p w14:paraId="2F256717" w14:textId="77777777" w:rsidR="000537CC" w:rsidRPr="00AA4BA0" w:rsidRDefault="000537CC" w:rsidP="008C07CF">
      <w:pPr>
        <w:spacing w:line="240" w:lineRule="auto"/>
      </w:pPr>
      <w:proofErr w:type="spellStart"/>
      <w:r w:rsidRPr="00AA4BA0">
        <w:t>DoL</w:t>
      </w:r>
      <w:proofErr w:type="spellEnd"/>
      <w:r w:rsidRPr="00AA4BA0">
        <w:tab/>
      </w:r>
      <w:r w:rsidRPr="00AA4BA0">
        <w:tab/>
        <w:t xml:space="preserve">Department of </w:t>
      </w:r>
      <w:proofErr w:type="spellStart"/>
      <w:r w:rsidRPr="00AA4BA0">
        <w:t>Labour</w:t>
      </w:r>
      <w:proofErr w:type="spellEnd"/>
    </w:p>
    <w:p w14:paraId="48F0A8CF" w14:textId="77777777" w:rsidR="000537CC" w:rsidRDefault="000537CC" w:rsidP="008C07CF">
      <w:pPr>
        <w:spacing w:line="240" w:lineRule="auto"/>
      </w:pPr>
      <w:r>
        <w:t>DPSA</w:t>
      </w:r>
      <w:r>
        <w:tab/>
      </w:r>
      <w:r>
        <w:tab/>
        <w:t>Department of Public Service and Administration</w:t>
      </w:r>
    </w:p>
    <w:p w14:paraId="5388E3AA" w14:textId="77777777" w:rsidR="000537CC" w:rsidRPr="00AA4BA0" w:rsidRDefault="000537CC" w:rsidP="008C07CF">
      <w:pPr>
        <w:spacing w:line="240" w:lineRule="auto"/>
      </w:pPr>
      <w:r w:rsidRPr="00AA4BA0">
        <w:t>DTI</w:t>
      </w:r>
      <w:r w:rsidRPr="00AA4BA0">
        <w:tab/>
      </w:r>
      <w:r w:rsidRPr="00AA4BA0">
        <w:tab/>
        <w:t>Department of Trade and Industry</w:t>
      </w:r>
    </w:p>
    <w:p w14:paraId="4592E220" w14:textId="77777777" w:rsidR="000537CC" w:rsidRDefault="000537CC" w:rsidP="008C07CF">
      <w:pPr>
        <w:spacing w:line="240" w:lineRule="auto"/>
      </w:pPr>
      <w:r>
        <w:t>ECD</w:t>
      </w:r>
      <w:r>
        <w:tab/>
      </w:r>
      <w:r>
        <w:tab/>
        <w:t>Early Childhood Development</w:t>
      </w:r>
    </w:p>
    <w:p w14:paraId="2EF9B8A6" w14:textId="77777777" w:rsidR="000537CC" w:rsidRDefault="000537CC" w:rsidP="008C07CF">
      <w:pPr>
        <w:spacing w:line="240" w:lineRule="auto"/>
      </w:pPr>
      <w:r w:rsidRPr="00AA4BA0">
        <w:t>ECSA</w:t>
      </w:r>
      <w:r w:rsidRPr="00AA4BA0">
        <w:tab/>
      </w:r>
      <w:r w:rsidRPr="00AA4BA0">
        <w:tab/>
        <w:t>Engineering Council of South Africa</w:t>
      </w:r>
    </w:p>
    <w:p w14:paraId="3D2D75AC" w14:textId="77777777" w:rsidR="000537CC" w:rsidRPr="00AA4BA0" w:rsidRDefault="000537CC" w:rsidP="008C07CF">
      <w:pPr>
        <w:spacing w:line="240" w:lineRule="auto"/>
      </w:pPr>
      <w:r>
        <w:t>EDD</w:t>
      </w:r>
      <w:r>
        <w:tab/>
      </w:r>
      <w:r>
        <w:tab/>
        <w:t>Economic Development Department</w:t>
      </w:r>
    </w:p>
    <w:p w14:paraId="14081843" w14:textId="77777777" w:rsidR="000537CC" w:rsidRDefault="000537CC" w:rsidP="008C07CF">
      <w:pPr>
        <w:spacing w:line="240" w:lineRule="auto"/>
      </w:pPr>
      <w:r>
        <w:t>EPWP</w:t>
      </w:r>
      <w:r>
        <w:tab/>
      </w:r>
      <w:r>
        <w:tab/>
        <w:t xml:space="preserve">Extended Public Works </w:t>
      </w:r>
      <w:proofErr w:type="spellStart"/>
      <w:r>
        <w:t>Programme</w:t>
      </w:r>
      <w:proofErr w:type="spellEnd"/>
    </w:p>
    <w:p w14:paraId="15976E7A" w14:textId="77777777" w:rsidR="000537CC" w:rsidRPr="00AA4BA0" w:rsidRDefault="000537CC" w:rsidP="008C07CF">
      <w:pPr>
        <w:spacing w:line="240" w:lineRule="auto"/>
      </w:pPr>
      <w:r w:rsidRPr="00AA4BA0">
        <w:t>ESSA</w:t>
      </w:r>
      <w:r w:rsidRPr="00AA4BA0">
        <w:tab/>
      </w:r>
      <w:r w:rsidRPr="00AA4BA0">
        <w:tab/>
        <w:t>Employment Services South Africa</w:t>
      </w:r>
    </w:p>
    <w:p w14:paraId="6D75F145" w14:textId="77777777" w:rsidR="000537CC" w:rsidRDefault="000537CC" w:rsidP="008C07CF">
      <w:pPr>
        <w:spacing w:line="240" w:lineRule="auto"/>
      </w:pPr>
      <w:r>
        <w:t>ETR</w:t>
      </w:r>
      <w:r>
        <w:tab/>
      </w:r>
      <w:r>
        <w:tab/>
        <w:t>Expenditure Training Report</w:t>
      </w:r>
    </w:p>
    <w:p w14:paraId="60B5D1AF" w14:textId="77777777" w:rsidR="000537CC" w:rsidRDefault="000537CC" w:rsidP="008C07CF">
      <w:pPr>
        <w:spacing w:line="240" w:lineRule="auto"/>
      </w:pPr>
      <w:r w:rsidRPr="00AA4BA0">
        <w:t>FET</w:t>
      </w:r>
      <w:r w:rsidRPr="00AA4BA0">
        <w:tab/>
      </w:r>
      <w:r w:rsidRPr="00AA4BA0">
        <w:tab/>
        <w:t>Further Education and Training</w:t>
      </w:r>
    </w:p>
    <w:p w14:paraId="3A3A1CE3" w14:textId="77777777" w:rsidR="000537CC" w:rsidRDefault="000537CC" w:rsidP="008C07CF">
      <w:pPr>
        <w:spacing w:line="240" w:lineRule="auto"/>
      </w:pPr>
      <w:r>
        <w:t>HRDC</w:t>
      </w:r>
      <w:r>
        <w:tab/>
      </w:r>
      <w:r>
        <w:tab/>
        <w:t xml:space="preserve">Human Resources </w:t>
      </w:r>
      <w:r w:rsidR="00125B25">
        <w:t>Development</w:t>
      </w:r>
      <w:r>
        <w:t xml:space="preserve"> Council</w:t>
      </w:r>
    </w:p>
    <w:p w14:paraId="62730309" w14:textId="77777777" w:rsidR="000537CC" w:rsidRPr="00AA4BA0" w:rsidRDefault="000537CC" w:rsidP="008C07CF">
      <w:pPr>
        <w:spacing w:line="240" w:lineRule="auto"/>
      </w:pPr>
      <w:r w:rsidRPr="00AA4BA0">
        <w:t>HRDS</w:t>
      </w:r>
      <w:r w:rsidRPr="00AA4BA0">
        <w:tab/>
      </w:r>
      <w:r w:rsidRPr="00AA4BA0">
        <w:tab/>
        <w:t>Human Resources Development Strategy</w:t>
      </w:r>
    </w:p>
    <w:p w14:paraId="7148508D" w14:textId="77777777" w:rsidR="000537CC" w:rsidRPr="00AA4BA0" w:rsidRDefault="000537CC" w:rsidP="008C07CF">
      <w:pPr>
        <w:spacing w:line="240" w:lineRule="auto"/>
      </w:pPr>
      <w:r w:rsidRPr="00AA4BA0">
        <w:t>HSRC</w:t>
      </w:r>
      <w:r w:rsidRPr="00AA4BA0">
        <w:tab/>
      </w:r>
      <w:r w:rsidRPr="00AA4BA0">
        <w:tab/>
        <w:t>Human Sciences Research Council</w:t>
      </w:r>
    </w:p>
    <w:p w14:paraId="7E471AB8" w14:textId="77777777" w:rsidR="000537CC" w:rsidRDefault="000537CC" w:rsidP="008C07CF">
      <w:pPr>
        <w:spacing w:line="240" w:lineRule="auto"/>
      </w:pPr>
      <w:proofErr w:type="spellStart"/>
      <w:r w:rsidRPr="00AA4BA0">
        <w:t>iPAP</w:t>
      </w:r>
      <w:proofErr w:type="spellEnd"/>
      <w:r w:rsidRPr="00AA4BA0">
        <w:tab/>
      </w:r>
      <w:r w:rsidRPr="00AA4BA0">
        <w:tab/>
        <w:t>Industrial Policy Action Plan</w:t>
      </w:r>
    </w:p>
    <w:p w14:paraId="08D8FB75" w14:textId="77777777" w:rsidR="000537CC" w:rsidRDefault="000537CC" w:rsidP="008C07CF">
      <w:pPr>
        <w:spacing w:line="240" w:lineRule="auto"/>
      </w:pPr>
      <w:r>
        <w:t>ISASA</w:t>
      </w:r>
      <w:r>
        <w:tab/>
      </w:r>
      <w:r>
        <w:tab/>
        <w:t>Independent Schools Association of South Africa</w:t>
      </w:r>
    </w:p>
    <w:p w14:paraId="07337FAA" w14:textId="77777777" w:rsidR="000537CC" w:rsidRPr="00AA4BA0" w:rsidRDefault="000537CC" w:rsidP="008C07CF">
      <w:pPr>
        <w:spacing w:line="240" w:lineRule="auto"/>
      </w:pPr>
      <w:r>
        <w:t>JIPSA</w:t>
      </w:r>
      <w:r>
        <w:tab/>
      </w:r>
      <w:r>
        <w:tab/>
      </w:r>
      <w:r w:rsidRPr="00914E7E">
        <w:t>Joint Initiative on Priority Skills Acquisition</w:t>
      </w:r>
    </w:p>
    <w:p w14:paraId="5DB54D29" w14:textId="77777777" w:rsidR="000537CC" w:rsidRPr="00AA4BA0" w:rsidRDefault="000537CC" w:rsidP="008C07CF">
      <w:pPr>
        <w:spacing w:line="240" w:lineRule="auto"/>
      </w:pPr>
      <w:r w:rsidRPr="00AA4BA0">
        <w:lastRenderedPageBreak/>
        <w:t>LMIP</w:t>
      </w:r>
      <w:r w:rsidRPr="00AA4BA0">
        <w:tab/>
      </w:r>
      <w:r w:rsidRPr="00AA4BA0">
        <w:tab/>
      </w:r>
      <w:proofErr w:type="spellStart"/>
      <w:r w:rsidRPr="00AA4BA0">
        <w:t>Labour</w:t>
      </w:r>
      <w:proofErr w:type="spellEnd"/>
      <w:r w:rsidRPr="00AA4BA0">
        <w:t xml:space="preserve"> Market Intelligence Partnership</w:t>
      </w:r>
    </w:p>
    <w:p w14:paraId="0F5E04C6" w14:textId="77777777" w:rsidR="000537CC" w:rsidRDefault="000537CC" w:rsidP="008C07CF">
      <w:pPr>
        <w:spacing w:line="240" w:lineRule="auto"/>
      </w:pPr>
      <w:r>
        <w:t>MOA</w:t>
      </w:r>
      <w:r>
        <w:tab/>
      </w:r>
      <w:r>
        <w:tab/>
        <w:t>Memorandum of Agreement</w:t>
      </w:r>
    </w:p>
    <w:p w14:paraId="24E9E278" w14:textId="77777777" w:rsidR="000537CC" w:rsidRDefault="000537CC" w:rsidP="008C07CF">
      <w:pPr>
        <w:spacing w:line="240" w:lineRule="auto"/>
      </w:pPr>
      <w:r>
        <w:t>MOU</w:t>
      </w:r>
      <w:r>
        <w:tab/>
      </w:r>
      <w:r>
        <w:tab/>
        <w:t>Memorandum of Understanding</w:t>
      </w:r>
    </w:p>
    <w:p w14:paraId="3BA1D476" w14:textId="77777777" w:rsidR="000537CC" w:rsidRPr="00AA4BA0" w:rsidRDefault="000537CC" w:rsidP="008C07CF">
      <w:pPr>
        <w:spacing w:line="240" w:lineRule="auto"/>
      </w:pPr>
      <w:r w:rsidRPr="00AA4BA0">
        <w:t>NC(V)</w:t>
      </w:r>
      <w:r w:rsidRPr="00AA4BA0">
        <w:tab/>
      </w:r>
      <w:r w:rsidRPr="00AA4BA0">
        <w:tab/>
        <w:t>National Curriculum (vocational)</w:t>
      </w:r>
    </w:p>
    <w:p w14:paraId="4A60758E" w14:textId="77777777" w:rsidR="000537CC" w:rsidRDefault="000537CC" w:rsidP="008C07CF">
      <w:pPr>
        <w:spacing w:line="240" w:lineRule="auto"/>
      </w:pPr>
      <w:r>
        <w:t>NDP</w:t>
      </w:r>
      <w:r>
        <w:tab/>
      </w:r>
      <w:r>
        <w:tab/>
        <w:t>National Development Plan</w:t>
      </w:r>
    </w:p>
    <w:p w14:paraId="718A9562" w14:textId="77777777" w:rsidR="000537CC" w:rsidRDefault="000537CC" w:rsidP="008C07CF">
      <w:pPr>
        <w:spacing w:line="240" w:lineRule="auto"/>
      </w:pPr>
      <w:r>
        <w:t>NEETS</w:t>
      </w:r>
      <w:r>
        <w:tab/>
      </w:r>
      <w:r>
        <w:tab/>
        <w:t xml:space="preserve">Not in Employment, Education or Training </w:t>
      </w:r>
    </w:p>
    <w:p w14:paraId="6C91D7C5" w14:textId="77777777" w:rsidR="000537CC" w:rsidRPr="00AA4BA0" w:rsidRDefault="000537CC" w:rsidP="008C07CF">
      <w:pPr>
        <w:spacing w:line="240" w:lineRule="auto"/>
      </w:pPr>
      <w:r w:rsidRPr="00AA4BA0">
        <w:t>NGO</w:t>
      </w:r>
      <w:r w:rsidRPr="00AA4BA0">
        <w:tab/>
      </w:r>
      <w:r w:rsidRPr="00AA4BA0">
        <w:tab/>
        <w:t xml:space="preserve">Non-Governmental </w:t>
      </w:r>
      <w:proofErr w:type="spellStart"/>
      <w:r w:rsidRPr="00AA4BA0">
        <w:t>Organisation</w:t>
      </w:r>
      <w:proofErr w:type="spellEnd"/>
      <w:r w:rsidRPr="00AA4BA0">
        <w:tab/>
      </w:r>
    </w:p>
    <w:p w14:paraId="320F947B" w14:textId="77777777" w:rsidR="000537CC" w:rsidRPr="00AA4BA0" w:rsidRDefault="000537CC" w:rsidP="008C07CF">
      <w:pPr>
        <w:spacing w:line="240" w:lineRule="auto"/>
      </w:pPr>
      <w:r w:rsidRPr="00AA4BA0">
        <w:t>NGP</w:t>
      </w:r>
      <w:r w:rsidRPr="00AA4BA0">
        <w:tab/>
      </w:r>
      <w:r w:rsidRPr="00AA4BA0">
        <w:tab/>
        <w:t>New Growth Path</w:t>
      </w:r>
    </w:p>
    <w:p w14:paraId="1AC00C86" w14:textId="77777777" w:rsidR="000537CC" w:rsidRPr="00AA4BA0" w:rsidRDefault="000537CC" w:rsidP="008C07CF">
      <w:pPr>
        <w:spacing w:line="240" w:lineRule="auto"/>
      </w:pPr>
      <w:r w:rsidRPr="00AA4BA0">
        <w:t>NLPE</w:t>
      </w:r>
      <w:r w:rsidRPr="00AA4BA0">
        <w:tab/>
      </w:r>
      <w:r w:rsidRPr="00AA4BA0">
        <w:tab/>
        <w:t>Non-Levy Paying Entity</w:t>
      </w:r>
    </w:p>
    <w:p w14:paraId="54AD425A" w14:textId="77777777" w:rsidR="000537CC" w:rsidRPr="00AA4BA0" w:rsidRDefault="000537CC" w:rsidP="008C07CF">
      <w:pPr>
        <w:spacing w:line="240" w:lineRule="auto"/>
      </w:pPr>
      <w:r w:rsidRPr="00AA4BA0">
        <w:t>NQF</w:t>
      </w:r>
      <w:r w:rsidRPr="00AA4BA0">
        <w:tab/>
      </w:r>
      <w:r w:rsidRPr="00AA4BA0">
        <w:tab/>
        <w:t>National Qualifications Framework</w:t>
      </w:r>
    </w:p>
    <w:p w14:paraId="15D75016" w14:textId="77777777" w:rsidR="000537CC" w:rsidRPr="00AA4BA0" w:rsidRDefault="000537CC" w:rsidP="008C07CF">
      <w:pPr>
        <w:spacing w:line="240" w:lineRule="auto"/>
      </w:pPr>
      <w:r w:rsidRPr="00AA4BA0">
        <w:t>NRF</w:t>
      </w:r>
      <w:r w:rsidRPr="00AA4BA0">
        <w:tab/>
      </w:r>
      <w:r w:rsidRPr="00AA4BA0">
        <w:tab/>
        <w:t>National Research Foundation</w:t>
      </w:r>
    </w:p>
    <w:p w14:paraId="00282A39" w14:textId="77777777" w:rsidR="000537CC" w:rsidRPr="00AA4BA0" w:rsidRDefault="000537CC" w:rsidP="008C07CF">
      <w:pPr>
        <w:spacing w:line="240" w:lineRule="auto"/>
      </w:pPr>
      <w:r w:rsidRPr="00AA4BA0">
        <w:t>NSA</w:t>
      </w:r>
      <w:r w:rsidRPr="00AA4BA0">
        <w:tab/>
      </w:r>
      <w:r w:rsidRPr="00AA4BA0">
        <w:tab/>
        <w:t>National Skills Authority</w:t>
      </w:r>
    </w:p>
    <w:p w14:paraId="1FE87219" w14:textId="77777777" w:rsidR="000537CC" w:rsidRDefault="000537CC" w:rsidP="008C07CF">
      <w:pPr>
        <w:spacing w:line="240" w:lineRule="auto"/>
      </w:pPr>
      <w:r>
        <w:t>NSC</w:t>
      </w:r>
      <w:r>
        <w:tab/>
      </w:r>
      <w:r>
        <w:tab/>
        <w:t>National Senior Certificate</w:t>
      </w:r>
    </w:p>
    <w:p w14:paraId="336DF510" w14:textId="77777777" w:rsidR="000537CC" w:rsidRPr="00AA4BA0" w:rsidRDefault="000537CC" w:rsidP="008C07CF">
      <w:pPr>
        <w:spacing w:line="240" w:lineRule="auto"/>
      </w:pPr>
      <w:r w:rsidRPr="00AA4BA0">
        <w:t>NSDS</w:t>
      </w:r>
      <w:r w:rsidRPr="00AA4BA0">
        <w:tab/>
      </w:r>
      <w:r w:rsidRPr="00AA4BA0">
        <w:tab/>
        <w:t>National Skills Development Strategy</w:t>
      </w:r>
    </w:p>
    <w:p w14:paraId="1C5F2FB8" w14:textId="77777777" w:rsidR="000537CC" w:rsidRPr="00AA4BA0" w:rsidRDefault="000537CC" w:rsidP="008C07CF">
      <w:pPr>
        <w:spacing w:line="240" w:lineRule="auto"/>
      </w:pPr>
      <w:r w:rsidRPr="00AA4BA0">
        <w:t>NSF</w:t>
      </w:r>
      <w:r w:rsidRPr="00AA4BA0">
        <w:tab/>
      </w:r>
      <w:r w:rsidRPr="00AA4BA0">
        <w:tab/>
        <w:t>National Skills Fund</w:t>
      </w:r>
    </w:p>
    <w:p w14:paraId="0AB67592" w14:textId="77777777" w:rsidR="000537CC" w:rsidRDefault="000537CC" w:rsidP="008C07CF">
      <w:pPr>
        <w:spacing w:line="240" w:lineRule="auto"/>
      </w:pPr>
      <w:r>
        <w:t>NYDA</w:t>
      </w:r>
      <w:r>
        <w:tab/>
      </w:r>
      <w:r>
        <w:tab/>
        <w:t>National Youth Development Agency</w:t>
      </w:r>
    </w:p>
    <w:p w14:paraId="14C91FB5" w14:textId="77777777" w:rsidR="000537CC" w:rsidRDefault="000537CC" w:rsidP="008C07CF">
      <w:pPr>
        <w:spacing w:line="240" w:lineRule="auto"/>
      </w:pPr>
      <w:r>
        <w:t>RDLR</w:t>
      </w:r>
      <w:r>
        <w:tab/>
      </w:r>
      <w:r>
        <w:tab/>
        <w:t>Rural Development and Land Reform</w:t>
      </w:r>
    </w:p>
    <w:p w14:paraId="02D2290A" w14:textId="77777777" w:rsidR="000537CC" w:rsidRDefault="000537CC" w:rsidP="008C07CF">
      <w:pPr>
        <w:spacing w:line="240" w:lineRule="auto"/>
      </w:pPr>
      <w:r>
        <w:t>SAGDA</w:t>
      </w:r>
      <w:r>
        <w:tab/>
      </w:r>
      <w:r>
        <w:tab/>
        <w:t>South African Graduates Development Agency</w:t>
      </w:r>
    </w:p>
    <w:p w14:paraId="537D26A5" w14:textId="77777777" w:rsidR="000537CC" w:rsidRDefault="000537CC" w:rsidP="008C07CF">
      <w:pPr>
        <w:spacing w:line="240" w:lineRule="auto"/>
      </w:pPr>
      <w:r>
        <w:t>SAICA</w:t>
      </w:r>
      <w:r>
        <w:tab/>
      </w:r>
      <w:r>
        <w:tab/>
        <w:t>South African Institute of Chartered Accountants</w:t>
      </w:r>
    </w:p>
    <w:p w14:paraId="034062C3" w14:textId="77777777" w:rsidR="000537CC" w:rsidRPr="00AA4BA0" w:rsidRDefault="000537CC" w:rsidP="008C07CF">
      <w:pPr>
        <w:spacing w:line="240" w:lineRule="auto"/>
      </w:pPr>
      <w:r w:rsidRPr="00AA4BA0">
        <w:t>SDA</w:t>
      </w:r>
      <w:r w:rsidRPr="00AA4BA0">
        <w:tab/>
      </w:r>
      <w:r w:rsidRPr="00AA4BA0">
        <w:tab/>
        <w:t>Skills Development Act</w:t>
      </w:r>
    </w:p>
    <w:p w14:paraId="58197CA6" w14:textId="77777777" w:rsidR="000537CC" w:rsidRPr="00AA4BA0" w:rsidRDefault="000537CC" w:rsidP="008C07CF">
      <w:pPr>
        <w:spacing w:line="240" w:lineRule="auto"/>
      </w:pPr>
      <w:r w:rsidRPr="00AA4BA0">
        <w:t>SETA</w:t>
      </w:r>
      <w:r w:rsidRPr="00AA4BA0">
        <w:tab/>
      </w:r>
      <w:r w:rsidRPr="00AA4BA0">
        <w:tab/>
        <w:t>Sector Education and Training Authority</w:t>
      </w:r>
    </w:p>
    <w:p w14:paraId="64CFD3C8" w14:textId="77777777" w:rsidR="000537CC" w:rsidRDefault="000537CC" w:rsidP="008C07CF">
      <w:pPr>
        <w:spacing w:line="240" w:lineRule="auto"/>
      </w:pPr>
      <w:r>
        <w:t xml:space="preserve">SLA </w:t>
      </w:r>
      <w:r>
        <w:tab/>
      </w:r>
      <w:r>
        <w:tab/>
        <w:t>Skills Levies Act</w:t>
      </w:r>
    </w:p>
    <w:p w14:paraId="13FC8A95" w14:textId="77777777" w:rsidR="000537CC" w:rsidRDefault="000537CC" w:rsidP="008C07CF">
      <w:pPr>
        <w:spacing w:line="240" w:lineRule="auto"/>
      </w:pPr>
      <w:r>
        <w:t>SMME</w:t>
      </w:r>
      <w:r>
        <w:tab/>
      </w:r>
      <w:r>
        <w:tab/>
        <w:t>Small Medium and Micro Enterprises</w:t>
      </w:r>
    </w:p>
    <w:p w14:paraId="5A5D3152" w14:textId="77777777" w:rsidR="000537CC" w:rsidRPr="00AA4BA0" w:rsidRDefault="000537CC" w:rsidP="008C07CF">
      <w:pPr>
        <w:spacing w:line="240" w:lineRule="auto"/>
      </w:pPr>
      <w:r w:rsidRPr="00AA4BA0">
        <w:t>SSP</w:t>
      </w:r>
      <w:r w:rsidRPr="00AA4BA0">
        <w:tab/>
      </w:r>
      <w:r w:rsidRPr="00AA4BA0">
        <w:tab/>
        <w:t>Sector Skills Plan</w:t>
      </w:r>
    </w:p>
    <w:p w14:paraId="443A03A9" w14:textId="77777777" w:rsidR="000537CC" w:rsidRDefault="000537CC" w:rsidP="008C07CF">
      <w:pPr>
        <w:spacing w:line="240" w:lineRule="auto"/>
      </w:pPr>
      <w:r>
        <w:t>TVET</w:t>
      </w:r>
      <w:r>
        <w:tab/>
      </w:r>
      <w:r>
        <w:tab/>
        <w:t>Technical Vocational Education and Training</w:t>
      </w:r>
    </w:p>
    <w:p w14:paraId="00AB4151" w14:textId="77777777" w:rsidR="000537CC" w:rsidRDefault="000537CC" w:rsidP="008C07CF">
      <w:pPr>
        <w:spacing w:line="240" w:lineRule="auto"/>
      </w:pPr>
      <w:r>
        <w:t>WBE</w:t>
      </w:r>
      <w:r>
        <w:tab/>
      </w:r>
      <w:r>
        <w:tab/>
      </w:r>
      <w:r w:rsidR="00C131E4">
        <w:t>Work</w:t>
      </w:r>
      <w:r>
        <w:t xml:space="preserve"> Based Experience</w:t>
      </w:r>
    </w:p>
    <w:p w14:paraId="44F56883" w14:textId="77777777" w:rsidR="000537CC" w:rsidRDefault="000537CC" w:rsidP="008C07CF">
      <w:pPr>
        <w:spacing w:line="240" w:lineRule="auto"/>
      </w:pPr>
      <w:r>
        <w:lastRenderedPageBreak/>
        <w:t>WIL</w:t>
      </w:r>
      <w:r>
        <w:tab/>
      </w:r>
      <w:r>
        <w:tab/>
        <w:t>Work Integrated Learning</w:t>
      </w:r>
    </w:p>
    <w:p w14:paraId="15B74A40" w14:textId="77777777" w:rsidR="000537CC" w:rsidRDefault="004F6980" w:rsidP="008C07CF">
      <w:pPr>
        <w:pStyle w:val="Heading1"/>
        <w:numPr>
          <w:ilvl w:val="0"/>
          <w:numId w:val="0"/>
        </w:numPr>
        <w:ind w:left="432" w:hanging="432"/>
      </w:pPr>
      <w:bookmarkStart w:id="6" w:name="_Toc486899620"/>
      <w:bookmarkStart w:id="7" w:name="_Toc488525860"/>
      <w:bookmarkStart w:id="8" w:name="_Toc486285886"/>
      <w:r>
        <w:t>GLOSSARY</w:t>
      </w:r>
      <w:bookmarkEnd w:id="6"/>
      <w:bookmarkEnd w:id="7"/>
    </w:p>
    <w:p w14:paraId="33A84454" w14:textId="77777777" w:rsidR="000537CC" w:rsidRPr="000537CC" w:rsidRDefault="000537CC" w:rsidP="008C07CF">
      <w:r w:rsidRPr="000537CC">
        <w:rPr>
          <w:b/>
        </w:rPr>
        <w:t>AET</w:t>
      </w:r>
      <w:r w:rsidRPr="000537CC">
        <w:tab/>
        <w:t xml:space="preserve">All education and Training for adult learners on level 1 registered on the national Qualification Framework contemplated in the </w:t>
      </w:r>
      <w:r w:rsidR="00813248">
        <w:t>Skills Development Act</w:t>
      </w:r>
      <w:r w:rsidRPr="000537CC">
        <w:t xml:space="preserve"> </w:t>
      </w:r>
      <w:proofErr w:type="spellStart"/>
      <w:r w:rsidRPr="000537CC">
        <w:t>Act</w:t>
      </w:r>
      <w:proofErr w:type="spellEnd"/>
      <w:r w:rsidRPr="000537CC">
        <w:t xml:space="preserve"> no.67 of 1998, (as amended). </w:t>
      </w:r>
    </w:p>
    <w:p w14:paraId="59522481" w14:textId="77777777" w:rsidR="00813248" w:rsidRPr="000537CC" w:rsidRDefault="000537CC" w:rsidP="008C07CF">
      <w:r w:rsidRPr="000537CC">
        <w:rPr>
          <w:b/>
        </w:rPr>
        <w:t>Apprenticeship</w:t>
      </w:r>
      <w:r w:rsidRPr="000537CC">
        <w:tab/>
      </w:r>
      <w:r w:rsidR="00813248" w:rsidRPr="000537CC">
        <w:t xml:space="preserve">A </w:t>
      </w:r>
      <w:proofErr w:type="spellStart"/>
      <w:r w:rsidR="00813248">
        <w:t>programme</w:t>
      </w:r>
      <w:proofErr w:type="spellEnd"/>
      <w:r w:rsidR="00813248">
        <w:t xml:space="preserve"> integrating theory, practical training and work </w:t>
      </w:r>
      <w:r w:rsidR="008C07CF">
        <w:t>experience</w:t>
      </w:r>
      <w:r w:rsidR="00813248">
        <w:t xml:space="preserve"> leading to a</w:t>
      </w:r>
      <w:r w:rsidR="00813248" w:rsidRPr="000537CC">
        <w:t xml:space="preserve"> listed trade, and </w:t>
      </w:r>
      <w:r w:rsidR="00813248">
        <w:t xml:space="preserve">which </w:t>
      </w:r>
      <w:r w:rsidR="00813248" w:rsidRPr="000537CC">
        <w:t>includes a trade test</w:t>
      </w:r>
      <w:r w:rsidR="00813248">
        <w:t xml:space="preserve">. </w:t>
      </w:r>
    </w:p>
    <w:p w14:paraId="3F4F4879" w14:textId="77777777" w:rsidR="00813248" w:rsidRPr="000537CC" w:rsidRDefault="00813248" w:rsidP="008C07CF">
      <w:r w:rsidRPr="000537CC">
        <w:rPr>
          <w:b/>
        </w:rPr>
        <w:t>Artisan</w:t>
      </w:r>
      <w:r w:rsidRPr="000537CC">
        <w:tab/>
        <w:t xml:space="preserve">A person who has been certified as competent to perform a listed trade in accordance with the </w:t>
      </w:r>
      <w:r w:rsidR="008C07CF">
        <w:t>Manpower Training Act 1981.</w:t>
      </w:r>
    </w:p>
    <w:p w14:paraId="5F9C1B1A" w14:textId="77777777" w:rsidR="00813248" w:rsidRPr="000537CC" w:rsidRDefault="00813248" w:rsidP="008C07CF">
      <w:r w:rsidRPr="000537CC">
        <w:rPr>
          <w:b/>
        </w:rPr>
        <w:t>Bursary</w:t>
      </w:r>
      <w:r w:rsidRPr="000537CC">
        <w:tab/>
        <w:t xml:space="preserve">The </w:t>
      </w:r>
      <w:r>
        <w:t>grant paid</w:t>
      </w:r>
      <w:r w:rsidRPr="000537CC">
        <w:t xml:space="preserve"> to a person to learn a trade or a skills </w:t>
      </w:r>
      <w:proofErr w:type="spellStart"/>
      <w:r w:rsidRPr="000537CC">
        <w:t>programme</w:t>
      </w:r>
      <w:proofErr w:type="spellEnd"/>
      <w:r w:rsidRPr="000537CC">
        <w:t xml:space="preserve"> at a recognized training institution.</w:t>
      </w:r>
      <w:r>
        <w:t xml:space="preserve"> It is generally intended to cover the study fees, but can include books, travel and associated costs of study. </w:t>
      </w:r>
    </w:p>
    <w:p w14:paraId="02C8A9C9" w14:textId="77777777" w:rsidR="00813248" w:rsidRPr="000537CC" w:rsidRDefault="00813248" w:rsidP="008C07CF">
      <w:r w:rsidRPr="000537CC">
        <w:rPr>
          <w:b/>
        </w:rPr>
        <w:t>Internship</w:t>
      </w:r>
      <w:r w:rsidRPr="000537CC">
        <w:tab/>
      </w:r>
      <w:r w:rsidR="00F53019">
        <w:t>A period of work experience with an employer where a newly qualified person can practice the skills learned during their studies</w:t>
      </w:r>
      <w:r w:rsidRPr="000537CC">
        <w:t>.</w:t>
      </w:r>
    </w:p>
    <w:p w14:paraId="672648BA" w14:textId="77777777" w:rsidR="00813248" w:rsidRPr="00F53019" w:rsidRDefault="00813248" w:rsidP="008C07CF">
      <w:proofErr w:type="spellStart"/>
      <w:r w:rsidRPr="000537CC">
        <w:rPr>
          <w:b/>
        </w:rPr>
        <w:t>Learnership</w:t>
      </w:r>
      <w:proofErr w:type="spellEnd"/>
      <w:r w:rsidRPr="000537CC">
        <w:tab/>
      </w:r>
      <w:r w:rsidR="00F53019">
        <w:tab/>
        <w:t xml:space="preserve">A </w:t>
      </w:r>
      <w:proofErr w:type="spellStart"/>
      <w:r w:rsidR="00F53019">
        <w:t>learnership</w:t>
      </w:r>
      <w:proofErr w:type="spellEnd"/>
      <w:r w:rsidR="00F53019">
        <w:t xml:space="preserve"> is a structured </w:t>
      </w:r>
      <w:proofErr w:type="spellStart"/>
      <w:r w:rsidR="00F53019">
        <w:t>programme</w:t>
      </w:r>
      <w:proofErr w:type="spellEnd"/>
      <w:r w:rsidR="00F53019">
        <w:t xml:space="preserve"> that includes both theoretical and work based practical learning and leads to a qualification on the NQF. A </w:t>
      </w:r>
      <w:proofErr w:type="spellStart"/>
      <w:r w:rsidR="00F53019">
        <w:t>learnership</w:t>
      </w:r>
      <w:proofErr w:type="spellEnd"/>
      <w:r w:rsidR="00F53019">
        <w:t xml:space="preserve"> has to be registered </w:t>
      </w:r>
      <w:r w:rsidRPr="000537CC">
        <w:t>in terms of the Skills Development Act no. 97 of 1998 (as amended).</w:t>
      </w:r>
    </w:p>
    <w:p w14:paraId="42C0F711" w14:textId="77777777" w:rsidR="00813248" w:rsidRPr="000537CC" w:rsidRDefault="00813248" w:rsidP="008C07CF">
      <w:r w:rsidRPr="000537CC">
        <w:rPr>
          <w:b/>
        </w:rPr>
        <w:t xml:space="preserve">Learning </w:t>
      </w:r>
      <w:proofErr w:type="spellStart"/>
      <w:r w:rsidRPr="000537CC">
        <w:rPr>
          <w:b/>
        </w:rPr>
        <w:t>Programme</w:t>
      </w:r>
      <w:proofErr w:type="spellEnd"/>
      <w:r w:rsidRPr="000537CC">
        <w:tab/>
        <w:t xml:space="preserve">Includes </w:t>
      </w:r>
      <w:proofErr w:type="spellStart"/>
      <w:r w:rsidRPr="000537CC">
        <w:t>Learnership</w:t>
      </w:r>
      <w:r w:rsidR="00F53019">
        <w:t>s</w:t>
      </w:r>
      <w:proofErr w:type="spellEnd"/>
      <w:r w:rsidR="00F53019">
        <w:t xml:space="preserve">, </w:t>
      </w:r>
      <w:r w:rsidRPr="000537CC">
        <w:t>apprenticeship</w:t>
      </w:r>
      <w:r w:rsidR="00F53019">
        <w:t xml:space="preserve">s, </w:t>
      </w:r>
      <w:r w:rsidRPr="000537CC">
        <w:t xml:space="preserve">skills </w:t>
      </w:r>
      <w:proofErr w:type="spellStart"/>
      <w:r w:rsidRPr="000537CC">
        <w:t>programme</w:t>
      </w:r>
      <w:r w:rsidR="00F53019">
        <w:t>s</w:t>
      </w:r>
      <w:proofErr w:type="spellEnd"/>
      <w:r w:rsidRPr="000537CC">
        <w:t xml:space="preserve"> and any other prescribed learning </w:t>
      </w:r>
      <w:proofErr w:type="spellStart"/>
      <w:r w:rsidRPr="000537CC">
        <w:t>programme</w:t>
      </w:r>
      <w:proofErr w:type="spellEnd"/>
      <w:r w:rsidRPr="000537CC">
        <w:t xml:space="preserve"> in terms of the Skills Development Act no 97 of 1998 (as amended)</w:t>
      </w:r>
      <w:r w:rsidR="00F53019">
        <w:t xml:space="preserve"> and which results in credits towards a qualification registered on the NQF.</w:t>
      </w:r>
    </w:p>
    <w:p w14:paraId="7FD31C71" w14:textId="77777777" w:rsidR="00813248" w:rsidRPr="000537CC" w:rsidRDefault="00813248" w:rsidP="008C07CF">
      <w:r w:rsidRPr="000537CC">
        <w:rPr>
          <w:b/>
        </w:rPr>
        <w:t>NC (V)</w:t>
      </w:r>
      <w:r w:rsidRPr="000537CC">
        <w:tab/>
        <w:t>National qualification at NQF level 2, 3 and 4, comprising 130 credits and seven subjects per level, which consist of academic knowledge and theory, integrated with practical skills and values specific to each vocational area/specialization.</w:t>
      </w:r>
      <w:r>
        <w:t xml:space="preserve"> The NC(V) is intended to be a technical alternative to the National Senior Certificate (NSC) with the same level 4 value. </w:t>
      </w:r>
    </w:p>
    <w:p w14:paraId="60F71003" w14:textId="77777777" w:rsidR="00813248" w:rsidRPr="000537CC" w:rsidRDefault="00813248" w:rsidP="008C07CF">
      <w:r w:rsidRPr="000537CC">
        <w:rPr>
          <w:b/>
        </w:rPr>
        <w:t>N-Courses</w:t>
      </w:r>
      <w:r w:rsidRPr="000537CC">
        <w:tab/>
        <w:t xml:space="preserve">A catalogue of nationally assessed and certificated occupationally-directed </w:t>
      </w:r>
      <w:proofErr w:type="spellStart"/>
      <w:r w:rsidRPr="000537CC">
        <w:t>programmes</w:t>
      </w:r>
      <w:proofErr w:type="spellEnd"/>
      <w:r w:rsidRPr="000537CC">
        <w:t xml:space="preserve"> aimed at learners intending to pursue a technical/vocational learning pathway outside of the schooling system, offered from N1-N6. </w:t>
      </w:r>
    </w:p>
    <w:p w14:paraId="012E31C3" w14:textId="77777777" w:rsidR="00813248" w:rsidRPr="000537CC" w:rsidRDefault="00813248" w:rsidP="008C07CF">
      <w:r w:rsidRPr="000537CC">
        <w:rPr>
          <w:b/>
        </w:rPr>
        <w:t>Public TVET College</w:t>
      </w:r>
      <w:r w:rsidRPr="000537CC">
        <w:rPr>
          <w:b/>
        </w:rPr>
        <w:tab/>
      </w:r>
      <w:r w:rsidRPr="00125B25">
        <w:t>Formerly called FET colleges</w:t>
      </w:r>
      <w:r>
        <w:t xml:space="preserve"> </w:t>
      </w:r>
      <w:r w:rsidRPr="00125B25">
        <w:t>-</w:t>
      </w:r>
      <w:r>
        <w:t xml:space="preserve"> </w:t>
      </w:r>
      <w:r w:rsidRPr="000537CC">
        <w:t xml:space="preserve">Any college that provides further education and training on a full-time, part-time or distance basis which is established or having been declared as such in terms of the Further Education and Training Colleges Act no. 101 of 1997. </w:t>
      </w:r>
    </w:p>
    <w:p w14:paraId="6437C42E" w14:textId="77777777" w:rsidR="00813248" w:rsidRPr="000537CC" w:rsidRDefault="00813248" w:rsidP="008C07CF"/>
    <w:p w14:paraId="4A6DF759" w14:textId="77777777" w:rsidR="00813248" w:rsidRPr="000537CC" w:rsidRDefault="00813248" w:rsidP="008C07CF">
      <w:r w:rsidRPr="000537CC">
        <w:rPr>
          <w:b/>
        </w:rPr>
        <w:lastRenderedPageBreak/>
        <w:t>SET</w:t>
      </w:r>
      <w:r w:rsidR="008C07CF">
        <w:rPr>
          <w:b/>
        </w:rPr>
        <w:t>A</w:t>
      </w:r>
      <w:r w:rsidRPr="000537CC">
        <w:tab/>
        <w:t>Is a Sector Education and Training Authority established in terms of the Skills Development Act no. 97 of 1998.</w:t>
      </w:r>
    </w:p>
    <w:p w14:paraId="77B6E014" w14:textId="77777777" w:rsidR="00813248" w:rsidRDefault="00813248" w:rsidP="008C07CF">
      <w:r w:rsidRPr="000537CC">
        <w:rPr>
          <w:b/>
        </w:rPr>
        <w:t xml:space="preserve">Skills </w:t>
      </w:r>
      <w:proofErr w:type="spellStart"/>
      <w:r w:rsidRPr="000537CC">
        <w:rPr>
          <w:b/>
        </w:rPr>
        <w:t>Programme</w:t>
      </w:r>
      <w:proofErr w:type="spellEnd"/>
      <w:r w:rsidRPr="000537CC">
        <w:tab/>
      </w:r>
      <w:r>
        <w:t>S</w:t>
      </w:r>
      <w:r w:rsidRPr="000537CC">
        <w:t xml:space="preserve">kills </w:t>
      </w:r>
      <w:proofErr w:type="spellStart"/>
      <w:r w:rsidRPr="000537CC">
        <w:t>programme</w:t>
      </w:r>
      <w:proofErr w:type="spellEnd"/>
      <w:r w:rsidRPr="000537CC">
        <w:t xml:space="preserve"> </w:t>
      </w:r>
      <w:r>
        <w:t xml:space="preserve">is a learning </w:t>
      </w:r>
      <w:proofErr w:type="spellStart"/>
      <w:r>
        <w:t>programme</w:t>
      </w:r>
      <w:proofErr w:type="spellEnd"/>
      <w:r>
        <w:t xml:space="preserve"> </w:t>
      </w:r>
      <w:r w:rsidRPr="000537CC">
        <w:t xml:space="preserve">that is occupationally based, </w:t>
      </w:r>
      <w:r>
        <w:t xml:space="preserve">and results in credits that contribute to </w:t>
      </w:r>
      <w:r w:rsidRPr="000537CC">
        <w:t>a qualification registered in terms of the National Qualifications Framework Act and complies with the requirements of the Skills Development Act no.97 of 1998.</w:t>
      </w:r>
    </w:p>
    <w:p w14:paraId="3DBF5BCC" w14:textId="77777777" w:rsidR="00813248" w:rsidRDefault="00813248" w:rsidP="008C07CF">
      <w:r>
        <w:br w:type="page"/>
      </w:r>
    </w:p>
    <w:p w14:paraId="713176C0" w14:textId="77777777" w:rsidR="000537CC" w:rsidRPr="000537CC" w:rsidRDefault="000537CC" w:rsidP="00813248">
      <w:pPr>
        <w:pStyle w:val="NoSpacing"/>
        <w:ind w:left="2160" w:hanging="2160"/>
        <w:jc w:val="both"/>
        <w:rPr>
          <w:sz w:val="22"/>
        </w:rPr>
      </w:pPr>
    </w:p>
    <w:p w14:paraId="11A59532" w14:textId="77777777" w:rsidR="00B97113" w:rsidRDefault="00B97113" w:rsidP="008C07CF">
      <w:pPr>
        <w:pStyle w:val="Heading1"/>
      </w:pPr>
      <w:bookmarkStart w:id="9" w:name="_Toc488525861"/>
      <w:bookmarkStart w:id="10" w:name="_Toc486899621"/>
      <w:r>
        <w:t>INTRODUCTION</w:t>
      </w:r>
      <w:bookmarkEnd w:id="9"/>
    </w:p>
    <w:p w14:paraId="185952F1" w14:textId="77777777" w:rsidR="00544513" w:rsidRPr="00150499" w:rsidRDefault="00B97113" w:rsidP="008C07CF">
      <w:pPr>
        <w:pStyle w:val="Heading2"/>
      </w:pPr>
      <w:bookmarkStart w:id="11" w:name="_Toc488525862"/>
      <w:bookmarkEnd w:id="4"/>
      <w:bookmarkEnd w:id="8"/>
      <w:bookmarkEnd w:id="10"/>
      <w:r>
        <w:t>Purpose of the study</w:t>
      </w:r>
      <w:bookmarkEnd w:id="11"/>
    </w:p>
    <w:p w14:paraId="35CFAEBC" w14:textId="77777777" w:rsidR="00544513" w:rsidRPr="00150499" w:rsidRDefault="00544513" w:rsidP="008C07CF">
      <w:r w:rsidRPr="00150499">
        <w:t>This baseline study is part of a comprehensive evaluation of N</w:t>
      </w:r>
      <w:r w:rsidR="00387B08">
        <w:t xml:space="preserve">ational Skills </w:t>
      </w:r>
      <w:r w:rsidR="006C4806">
        <w:t>Development</w:t>
      </w:r>
      <w:r w:rsidR="00387B08">
        <w:t xml:space="preserve"> Strategy (N</w:t>
      </w:r>
      <w:r w:rsidRPr="00150499">
        <w:t>SDS</w:t>
      </w:r>
      <w:r w:rsidR="0099180F">
        <w:t xml:space="preserve"> </w:t>
      </w:r>
      <w:r w:rsidRPr="00150499">
        <w:t>III</w:t>
      </w:r>
      <w:r w:rsidR="00387B08">
        <w:t>)</w:t>
      </w:r>
      <w:r w:rsidRPr="00150499">
        <w:t xml:space="preserve">, its design, implementation and impact. </w:t>
      </w:r>
      <w:r w:rsidR="006C4806" w:rsidRPr="00F47C02">
        <w:t>To</w:t>
      </w:r>
      <w:r w:rsidRPr="00150499">
        <w:t xml:space="preserve"> measure progress in relation to t</w:t>
      </w:r>
      <w:r w:rsidR="00387B08">
        <w:t>he G</w:t>
      </w:r>
      <w:r w:rsidRPr="00150499">
        <w:t xml:space="preserve">oals, </w:t>
      </w:r>
      <w:r w:rsidR="00387B08">
        <w:t>Outcomes and Outputs of the S</w:t>
      </w:r>
      <w:r w:rsidRPr="00150499">
        <w:t>trategy</w:t>
      </w:r>
      <w:r w:rsidR="005C762C">
        <w:t>,</w:t>
      </w:r>
      <w:r w:rsidR="00440111">
        <w:t xml:space="preserve"> it i</w:t>
      </w:r>
      <w:r w:rsidRPr="00150499">
        <w:t>s necessary to initially set out the baseline. No baseline study was conducted at the beginning of NSDS</w:t>
      </w:r>
      <w:r w:rsidR="0099180F">
        <w:t xml:space="preserve"> </w:t>
      </w:r>
      <w:r w:rsidRPr="00150499">
        <w:t xml:space="preserve">III (i.e. setting out </w:t>
      </w:r>
      <w:r w:rsidR="00387B08">
        <w:t>the baseline in 2010/2011) and s</w:t>
      </w:r>
      <w:r w:rsidRPr="00150499">
        <w:t xml:space="preserve">o it is necessary to try and construct the baseline in retrospect. This is not ideal, and </w:t>
      </w:r>
      <w:r w:rsidR="00387B08">
        <w:t xml:space="preserve">it </w:t>
      </w:r>
      <w:r w:rsidRPr="00150499">
        <w:t xml:space="preserve">is not easy because the research team </w:t>
      </w:r>
      <w:r w:rsidR="006C4806" w:rsidRPr="00F47C02">
        <w:t>must</w:t>
      </w:r>
      <w:r w:rsidRPr="00150499">
        <w:t xml:space="preserve"> rely on documents that are quite old and cannot easily be verified. </w:t>
      </w:r>
      <w:r w:rsidR="006C4806" w:rsidRPr="00F47C02">
        <w:t>Nevertheless,</w:t>
      </w:r>
      <w:r w:rsidRPr="00150499">
        <w:t xml:space="preserve"> it was agreed that some assessment of the status quo</w:t>
      </w:r>
      <w:r w:rsidR="00FD256A">
        <w:t xml:space="preserve"> at that point</w:t>
      </w:r>
      <w:r w:rsidRPr="00150499">
        <w:t xml:space="preserve"> should be documented. </w:t>
      </w:r>
    </w:p>
    <w:p w14:paraId="7B6F2B33" w14:textId="39FA6B54" w:rsidR="00544513" w:rsidRPr="00150499" w:rsidRDefault="00544513" w:rsidP="008C07CF">
      <w:pPr>
        <w:rPr>
          <w:lang w:val="en-ZA"/>
        </w:rPr>
      </w:pPr>
      <w:r w:rsidRPr="00150499">
        <w:t xml:space="preserve">The key objective of the study </w:t>
      </w:r>
      <w:r w:rsidR="00440111">
        <w:rPr>
          <w:lang w:val="en-ZA"/>
        </w:rPr>
        <w:t>is</w:t>
      </w:r>
      <w:r w:rsidRPr="00150499">
        <w:rPr>
          <w:lang w:val="en-ZA"/>
        </w:rPr>
        <w:t xml:space="preserve"> to bring together available data in relation to Outcomes and Outputs and to provide a descriptive account of the status quo as was before the </w:t>
      </w:r>
      <w:r w:rsidR="000610AF">
        <w:rPr>
          <w:lang w:val="en-ZA"/>
        </w:rPr>
        <w:t xml:space="preserve">introduction </w:t>
      </w:r>
      <w:r w:rsidRPr="00150499">
        <w:rPr>
          <w:lang w:val="en-ZA"/>
        </w:rPr>
        <w:t xml:space="preserve">of the NSDS III. The information is vital for </w:t>
      </w:r>
      <w:r w:rsidR="003B788D">
        <w:rPr>
          <w:lang w:val="en-ZA"/>
        </w:rPr>
        <w:t xml:space="preserve">measuring </w:t>
      </w:r>
      <w:r w:rsidRPr="00150499">
        <w:rPr>
          <w:lang w:val="en-ZA"/>
        </w:rPr>
        <w:t xml:space="preserve">the progress and achievement made thus far. Specifically, this is an essential component of the NSDS III review process and will assist in determining the shape and implementation framework of the envisaged </w:t>
      </w:r>
      <w:r w:rsidR="00C37472">
        <w:rPr>
          <w:lang w:val="en-ZA"/>
        </w:rPr>
        <w:t>strategy going forward</w:t>
      </w:r>
      <w:r w:rsidRPr="00150499">
        <w:rPr>
          <w:lang w:val="en-ZA"/>
        </w:rPr>
        <w:t xml:space="preserve">. </w:t>
      </w:r>
    </w:p>
    <w:p w14:paraId="72D9399D" w14:textId="77777777" w:rsidR="00DD6CB1" w:rsidRPr="0099180F" w:rsidRDefault="00B97113" w:rsidP="008C07CF">
      <w:pPr>
        <w:pStyle w:val="Heading2"/>
      </w:pPr>
      <w:bookmarkStart w:id="12" w:name="_Toc488525863"/>
      <w:bookmarkEnd w:id="5"/>
      <w:r>
        <w:t>Contextual background</w:t>
      </w:r>
      <w:bookmarkEnd w:id="12"/>
    </w:p>
    <w:p w14:paraId="12842011" w14:textId="77777777" w:rsidR="008B1D5B" w:rsidRPr="008B1D5B" w:rsidRDefault="008B1D5B" w:rsidP="008C07CF">
      <w:r w:rsidRPr="008B1D5B">
        <w:t xml:space="preserve">Skills shortages have been a concern in South Africa for many years. The state of artisan development is a useful example of a real problem that government has sought to address over time. It was one of </w:t>
      </w:r>
      <w:r w:rsidR="006C4806" w:rsidRPr="008B1D5B">
        <w:t>several</w:t>
      </w:r>
      <w:r w:rsidRPr="008B1D5B">
        <w:t xml:space="preserve"> </w:t>
      </w:r>
      <w:r w:rsidR="006C4806" w:rsidRPr="008B1D5B">
        <w:t>weaknesses</w:t>
      </w:r>
      <w:r w:rsidRPr="008B1D5B">
        <w:t xml:space="preserve"> in the country’s skills base that policy makers have been grappling with. From as early as 1985 to 1995, the number of artisans in development decreased from an annual high of 33 000 to just over 22 000 in 1994, and by early 2005, it had fallen to as low as 4 500 (The Presidency, JIPSA Final Report, 2010). Subsequent policy debates culminated in the adoption and institutionalization of the Human Resources Development Strategy-South Africa (HRD-SA), Skills Development Act (SDA), Skills Development Levies Act (SDLA) and the National Skills Development Strategies (NSDS I; NSDS II and NSDS III). Read together, the SDA and SDLA introduced the Sector Education and Training Authorities (SETAs)</w:t>
      </w:r>
      <w:r w:rsidR="00403B3C">
        <w:t xml:space="preserve"> and the </w:t>
      </w:r>
      <w:r w:rsidRPr="008B1D5B">
        <w:t>skills levy</w:t>
      </w:r>
      <w:r w:rsidR="00F6352E">
        <w:t>-grant</w:t>
      </w:r>
      <w:r w:rsidRPr="008B1D5B">
        <w:t xml:space="preserve"> system.</w:t>
      </w:r>
    </w:p>
    <w:p w14:paraId="71CEF288" w14:textId="77777777" w:rsidR="008B1D5B" w:rsidRPr="008B1D5B" w:rsidRDefault="008B1D5B" w:rsidP="008C07CF">
      <w:r w:rsidRPr="008B1D5B">
        <w:t>This</w:t>
      </w:r>
      <w:r w:rsidRPr="008B1D5B">
        <w:rPr>
          <w:rFonts w:eastAsia="Times New Roman"/>
        </w:rPr>
        <w:t xml:space="preserve"> network of</w:t>
      </w:r>
      <w:r w:rsidRPr="008B1D5B">
        <w:t xml:space="preserve"> policy regiments sought to boost skills development for workers and </w:t>
      </w:r>
      <w:r w:rsidR="002B1590">
        <w:t xml:space="preserve">the </w:t>
      </w:r>
      <w:r w:rsidRPr="008B1D5B">
        <w:t xml:space="preserve">unemployed, address the “youth question”, improve </w:t>
      </w:r>
      <w:proofErr w:type="spellStart"/>
      <w:r w:rsidRPr="008B1D5B">
        <w:t>labour</w:t>
      </w:r>
      <w:proofErr w:type="spellEnd"/>
      <w:r w:rsidRPr="008B1D5B">
        <w:t xml:space="preserve"> market access, enhance mobility and eliminate learning stagnation. It was aimed at </w:t>
      </w:r>
      <w:proofErr w:type="spellStart"/>
      <w:r w:rsidRPr="008B1D5B">
        <w:t>mobilising</w:t>
      </w:r>
      <w:proofErr w:type="spellEnd"/>
      <w:r w:rsidRPr="008B1D5B">
        <w:t xml:space="preserve"> investment of resources in education and skills training, accelerate the production of scarce skills and spill-over effects across institutions and industry. Policy outputs were to include among others; improved quality of teaching and learning particularly in vocational and training institutions, expanded workplace </w:t>
      </w:r>
      <w:r w:rsidRPr="008B1D5B">
        <w:lastRenderedPageBreak/>
        <w:t xml:space="preserve">training and qualifications, as well as transforming the </w:t>
      </w:r>
      <w:r w:rsidR="00F53019">
        <w:t>workforce in terms of race</w:t>
      </w:r>
      <w:r w:rsidRPr="008B1D5B">
        <w:t xml:space="preserve">, gender and </w:t>
      </w:r>
      <w:r w:rsidR="008C07CF">
        <w:t>disability</w:t>
      </w:r>
      <w:r w:rsidRPr="008B1D5B">
        <w:t xml:space="preserve"> (DHET, Ministerial Task Team Report on SETA Performance, 2013)</w:t>
      </w:r>
      <w:r w:rsidR="00F53019">
        <w:t xml:space="preserve"> and supporting efforts to achieve greater equity in skilled and managerial occupations</w:t>
      </w:r>
      <w:r w:rsidRPr="008B1D5B">
        <w:t>.</w:t>
      </w:r>
    </w:p>
    <w:p w14:paraId="2B3B3AC0" w14:textId="77777777" w:rsidR="0037275B" w:rsidRDefault="008B1D5B" w:rsidP="008C07CF">
      <w:r w:rsidRPr="008B1D5B">
        <w:t>Since inception in</w:t>
      </w:r>
      <w:r w:rsidR="0045664F">
        <w:t xml:space="preserve"> 2000</w:t>
      </w:r>
      <w:r w:rsidRPr="008B1D5B">
        <w:t xml:space="preserve">, </w:t>
      </w:r>
      <w:r w:rsidR="00845193">
        <w:t xml:space="preserve">three iterations of the </w:t>
      </w:r>
      <w:r w:rsidRPr="008B1D5B">
        <w:t>NSDS (I, II, III) have provided the framework within which implementing stakeholders</w:t>
      </w:r>
      <w:r w:rsidR="00440111">
        <w:t>,</w:t>
      </w:r>
      <w:r w:rsidRPr="008B1D5B">
        <w:t xml:space="preserve"> mainly SETAs and the N</w:t>
      </w:r>
      <w:r w:rsidR="003D7F8F">
        <w:t>ational Skills Fund (N</w:t>
      </w:r>
      <w:r w:rsidRPr="008B1D5B">
        <w:t>SF</w:t>
      </w:r>
      <w:r w:rsidR="003D7F8F">
        <w:t>)</w:t>
      </w:r>
      <w:r w:rsidR="00440111">
        <w:t>,</w:t>
      </w:r>
      <w:r w:rsidRPr="008B1D5B">
        <w:t xml:space="preserve"> conduct their work. Over the course of implementation, multiple-focused evaluations and impact assessments on various facets of SETA activities have been conducted, some commissioned by government, others funded independently by SETAs, and there is evidence of </w:t>
      </w:r>
      <w:r w:rsidR="008C11F6">
        <w:t>work done by</w:t>
      </w:r>
      <w:r w:rsidR="00DC7980">
        <w:t xml:space="preserve"> the</w:t>
      </w:r>
      <w:r w:rsidR="008C11F6">
        <w:t xml:space="preserve"> individual entities</w:t>
      </w:r>
      <w:r w:rsidR="00387B08">
        <w:t xml:space="preserve">. </w:t>
      </w:r>
      <w:r w:rsidR="006C4806">
        <w:t>However,</w:t>
      </w:r>
      <w:r w:rsidR="0037275B">
        <w:t xml:space="preserve"> the extent to which </w:t>
      </w:r>
      <w:r w:rsidR="00387B08">
        <w:t xml:space="preserve">the outputs of this work was </w:t>
      </w:r>
      <w:r w:rsidR="002B1590">
        <w:t xml:space="preserve">centrally documented </w:t>
      </w:r>
      <w:r w:rsidR="0037275B">
        <w:t xml:space="preserve">is </w:t>
      </w:r>
      <w:r w:rsidR="002953A3">
        <w:t xml:space="preserve">rather problematic </w:t>
      </w:r>
      <w:r w:rsidR="0037275B">
        <w:t>and not readily accessible to</w:t>
      </w:r>
      <w:r w:rsidR="00387B08">
        <w:t xml:space="preserve"> users of information.</w:t>
      </w:r>
      <w:r w:rsidR="0037275B">
        <w:t xml:space="preserve"> </w:t>
      </w:r>
      <w:r w:rsidR="008C11F6">
        <w:t>A</w:t>
      </w:r>
      <w:r w:rsidRPr="008B1D5B">
        <w:t xml:space="preserve">n analysis of public </w:t>
      </w:r>
      <w:r w:rsidR="008C11F6">
        <w:t xml:space="preserve">documents and other publications on skills planning </w:t>
      </w:r>
      <w:r w:rsidRPr="008B1D5B">
        <w:t>reveals that more often, studies observed common trends across the SETAs</w:t>
      </w:r>
      <w:r w:rsidR="008C11F6">
        <w:t>,</w:t>
      </w:r>
      <w:r w:rsidRPr="008B1D5B">
        <w:t xml:space="preserve"> and within the </w:t>
      </w:r>
      <w:r w:rsidR="002953A3">
        <w:t>D</w:t>
      </w:r>
      <w:r w:rsidR="002B1590">
        <w:t xml:space="preserve">epartment </w:t>
      </w:r>
      <w:r w:rsidR="002953A3">
        <w:t>o</w:t>
      </w:r>
      <w:r w:rsidR="002B1590">
        <w:t xml:space="preserve">f </w:t>
      </w:r>
      <w:proofErr w:type="spellStart"/>
      <w:r w:rsidR="003D7F8F">
        <w:t>L</w:t>
      </w:r>
      <w:r w:rsidR="002B1590">
        <w:t>abour</w:t>
      </w:r>
      <w:proofErr w:type="spellEnd"/>
      <w:r w:rsidR="002B1590">
        <w:t xml:space="preserve"> (</w:t>
      </w:r>
      <w:proofErr w:type="spellStart"/>
      <w:r w:rsidR="002B1590">
        <w:t>DoL</w:t>
      </w:r>
      <w:proofErr w:type="spellEnd"/>
      <w:r w:rsidR="002B1590">
        <w:t>)</w:t>
      </w:r>
      <w:r w:rsidR="003D7F8F">
        <w:t xml:space="preserve"> and D</w:t>
      </w:r>
      <w:r w:rsidR="002B1590">
        <w:t xml:space="preserve">epartment of </w:t>
      </w:r>
      <w:r w:rsidR="003D7F8F">
        <w:t>H</w:t>
      </w:r>
      <w:r w:rsidR="002B1590">
        <w:t xml:space="preserve">igher Education and </w:t>
      </w:r>
      <w:r w:rsidR="003D7F8F">
        <w:t>T</w:t>
      </w:r>
      <w:r w:rsidR="002B1590">
        <w:t>raining (DHET)</w:t>
      </w:r>
      <w:r w:rsidR="008C11F6">
        <w:t>. These include among other</w:t>
      </w:r>
      <w:r w:rsidR="002953A3">
        <w:t>s;</w:t>
      </w:r>
      <w:r w:rsidR="008C11F6">
        <w:t xml:space="preserve"> </w:t>
      </w:r>
      <w:r w:rsidRPr="008B1D5B">
        <w:t xml:space="preserve">limited research capacity, planning inadequacies, lack of standards for data capturing, weak information management and poor reporting. </w:t>
      </w:r>
    </w:p>
    <w:p w14:paraId="1A49AE98" w14:textId="77777777" w:rsidR="008B1D5B" w:rsidRPr="008B1D5B" w:rsidRDefault="008B1D5B" w:rsidP="008C07CF">
      <w:r w:rsidRPr="008B1D5B">
        <w:t xml:space="preserve">The Portfolio </w:t>
      </w:r>
      <w:r w:rsidR="0037275B">
        <w:t>C</w:t>
      </w:r>
      <w:r w:rsidRPr="008B1D5B">
        <w:t xml:space="preserve">ommittee overseeing skills development </w:t>
      </w:r>
      <w:r w:rsidR="002B1590">
        <w:t xml:space="preserve">in parliament </w:t>
      </w:r>
      <w:r w:rsidRPr="008B1D5B">
        <w:t>ha</w:t>
      </w:r>
      <w:r w:rsidR="008C11F6">
        <w:t>d</w:t>
      </w:r>
      <w:r w:rsidRPr="008B1D5B">
        <w:t xml:space="preserve"> repeated</w:t>
      </w:r>
      <w:r w:rsidR="00440111">
        <w:t>ly</w:t>
      </w:r>
      <w:r w:rsidRPr="008B1D5B">
        <w:t xml:space="preserve"> expressed concern that the </w:t>
      </w:r>
      <w:r w:rsidR="008C11F6">
        <w:t xml:space="preserve">system </w:t>
      </w:r>
      <w:r w:rsidRPr="008B1D5B">
        <w:t>is not adequately addressing the skills challenge</w:t>
      </w:r>
      <w:r w:rsidR="008C11F6">
        <w:t>s</w:t>
      </w:r>
      <w:r w:rsidRPr="008B1D5B">
        <w:t xml:space="preserve"> </w:t>
      </w:r>
      <w:r w:rsidR="008C11F6">
        <w:t xml:space="preserve">that are vital for </w:t>
      </w:r>
      <w:r w:rsidRPr="008B1D5B">
        <w:t>achiev</w:t>
      </w:r>
      <w:r w:rsidR="008C11F6">
        <w:t>ing</w:t>
      </w:r>
      <w:r w:rsidRPr="008B1D5B">
        <w:t xml:space="preserve"> inclusive growth. During the period of NSDS</w:t>
      </w:r>
      <w:r w:rsidR="002B1590">
        <w:t xml:space="preserve"> </w:t>
      </w:r>
      <w:r w:rsidRPr="008B1D5B">
        <w:t xml:space="preserve">II the concerns were documented in a number of reports for the Presidency and </w:t>
      </w:r>
      <w:proofErr w:type="spellStart"/>
      <w:r w:rsidRPr="008B1D5B">
        <w:t>Nedlac</w:t>
      </w:r>
      <w:proofErr w:type="spellEnd"/>
      <w:r w:rsidRPr="008B1D5B">
        <w:t xml:space="preserve"> and these very much shaped the thinking within DHET as it was formed in 2009 and started the process of developing NSDS</w:t>
      </w:r>
      <w:r w:rsidR="002B1590">
        <w:t xml:space="preserve"> </w:t>
      </w:r>
      <w:r w:rsidRPr="008B1D5B">
        <w:t xml:space="preserve">III and confronting some of the challenges in the system. </w:t>
      </w:r>
    </w:p>
    <w:p w14:paraId="17BBC4B4" w14:textId="77777777" w:rsidR="0011669A" w:rsidRPr="008B1D5B" w:rsidRDefault="008B1D5B" w:rsidP="008C07CF">
      <w:r w:rsidRPr="008B1D5B">
        <w:t xml:space="preserve">It is noteworthy that each of the NSDS phases was to be implemented and monitored over a period of five years. NSDS II was extended by an additional year to 2011. The NSDS III was initially intended to be for the period 2011-2016. </w:t>
      </w:r>
      <w:r w:rsidR="005B4448" w:rsidRPr="008B1D5B">
        <w:t>However,</w:t>
      </w:r>
      <w:r w:rsidRPr="008B1D5B">
        <w:t xml:space="preserve"> it was extended to 2018 and in December 2016 the Minister </w:t>
      </w:r>
      <w:r w:rsidR="003D7F8F">
        <w:t xml:space="preserve">of Higher Education and Training </w:t>
      </w:r>
      <w:r w:rsidRPr="008B1D5B">
        <w:t>announced that it would be further extended by an additional 2 years, until March 2020.</w:t>
      </w:r>
    </w:p>
    <w:p w14:paraId="1975EBCF" w14:textId="77777777" w:rsidR="008B1D5B" w:rsidRPr="0099180F" w:rsidRDefault="00DC7980" w:rsidP="008C07CF">
      <w:pPr>
        <w:pStyle w:val="Heading2"/>
      </w:pPr>
      <w:bookmarkStart w:id="13" w:name="_Toc483766179"/>
      <w:bookmarkStart w:id="14" w:name="_Toc488525864"/>
      <w:r>
        <w:t xml:space="preserve">The </w:t>
      </w:r>
      <w:r w:rsidR="008B1D5B" w:rsidRPr="0099180F">
        <w:t>NSDS</w:t>
      </w:r>
      <w:bookmarkEnd w:id="13"/>
      <w:bookmarkEnd w:id="14"/>
      <w:r w:rsidR="008B1D5B" w:rsidRPr="0099180F">
        <w:t xml:space="preserve"> </w:t>
      </w:r>
    </w:p>
    <w:p w14:paraId="5BE42370" w14:textId="77777777" w:rsidR="008B1D5B" w:rsidRPr="008B1D5B" w:rsidRDefault="008B1D5B" w:rsidP="008C07CF">
      <w:r w:rsidRPr="008B1D5B">
        <w:t>First introduced in 2001, the NSDS heralded a new phase of ‘controlled’ structure for skills development practices, aimed at delivering national development objects. This was to be accelerated through the subsequent launch</w:t>
      </w:r>
      <w:r w:rsidR="0037275B">
        <w:t>es</w:t>
      </w:r>
      <w:r w:rsidRPr="008B1D5B">
        <w:t xml:space="preserve"> of the NSDS II and III in 2006 and 2011 respectively. The </w:t>
      </w:r>
      <w:r w:rsidR="00404B3B">
        <w:t>last iteration of NSDS in 2011</w:t>
      </w:r>
      <w:r w:rsidR="00404B3B" w:rsidRPr="008B1D5B">
        <w:t xml:space="preserve"> </w:t>
      </w:r>
      <w:r w:rsidRPr="008B1D5B">
        <w:t>promised to increase qualifications and skills to support national priorities and initiatives such as the New Growth Path (NGP), Industrial Policy Action Plan (</w:t>
      </w:r>
      <w:proofErr w:type="spellStart"/>
      <w:r w:rsidR="008C11F6">
        <w:t>i</w:t>
      </w:r>
      <w:r w:rsidRPr="008B1D5B">
        <w:t>PAP</w:t>
      </w:r>
      <w:proofErr w:type="spellEnd"/>
      <w:r w:rsidRPr="008B1D5B">
        <w:t xml:space="preserve">), the HRDS and sector development plans (NSDS III 2011-15, 2011). </w:t>
      </w:r>
    </w:p>
    <w:p w14:paraId="5A306537" w14:textId="77777777" w:rsidR="008B1D5B" w:rsidRPr="008B1D5B" w:rsidRDefault="008B1D5B" w:rsidP="008C07CF">
      <w:r w:rsidRPr="008B1D5B">
        <w:t xml:space="preserve">Read in concert with other </w:t>
      </w:r>
      <w:proofErr w:type="spellStart"/>
      <w:r w:rsidRPr="008B1D5B">
        <w:t>programmes</w:t>
      </w:r>
      <w:proofErr w:type="spellEnd"/>
      <w:r w:rsidRPr="008B1D5B">
        <w:t xml:space="preserve">, the new strategy also endeavored to implement equity measures aimed at redressing persistent racial inequalities through expanded access to </w:t>
      </w:r>
      <w:r w:rsidRPr="008B1D5B">
        <w:lastRenderedPageBreak/>
        <w:t>skills development opportunities and workplace experience. The state-driven national skills development system allocated a key role to SETAs, in partnership with employers and a range of public and private training providers to promote linkages between education and the industry (</w:t>
      </w:r>
      <w:proofErr w:type="spellStart"/>
      <w:r w:rsidRPr="008B1D5B">
        <w:t>Kruss</w:t>
      </w:r>
      <w:proofErr w:type="spellEnd"/>
      <w:r w:rsidRPr="008B1D5B">
        <w:t xml:space="preserve"> et al, 2012; </w:t>
      </w:r>
      <w:proofErr w:type="spellStart"/>
      <w:r w:rsidRPr="008B1D5B">
        <w:t>Kraak</w:t>
      </w:r>
      <w:proofErr w:type="spellEnd"/>
      <w:r w:rsidRPr="008B1D5B">
        <w:t xml:space="preserve">, 2005). </w:t>
      </w:r>
    </w:p>
    <w:p w14:paraId="0DA7CD8B" w14:textId="77777777" w:rsidR="008B1D5B" w:rsidRPr="008B1D5B" w:rsidRDefault="008B1D5B" w:rsidP="008C07CF">
      <w:r w:rsidRPr="008B1D5B">
        <w:t xml:space="preserve">It is noteworthy that at the time of the NSDS </w:t>
      </w:r>
      <w:r w:rsidR="0037275B">
        <w:t>launch</w:t>
      </w:r>
      <w:r w:rsidRPr="008B1D5B">
        <w:t xml:space="preserve">, the old apprenticeship system was still in place. The introduction of the </w:t>
      </w:r>
      <w:proofErr w:type="spellStart"/>
      <w:r w:rsidRPr="008B1D5B">
        <w:t>learnerships</w:t>
      </w:r>
      <w:proofErr w:type="spellEnd"/>
      <w:r w:rsidRPr="008B1D5B">
        <w:t xml:space="preserve"> added a new dimension which differed significantly from the old system. The apprenticeship on the one hand, focused on intermediate and artisanal-level skills, </w:t>
      </w:r>
      <w:r w:rsidR="003D7F8F">
        <w:t xml:space="preserve">and on the other, </w:t>
      </w:r>
      <w:r w:rsidRPr="008B1D5B">
        <w:t xml:space="preserve">the new </w:t>
      </w:r>
      <w:proofErr w:type="spellStart"/>
      <w:r w:rsidRPr="008B1D5B">
        <w:t>learnerships</w:t>
      </w:r>
      <w:proofErr w:type="spellEnd"/>
      <w:r w:rsidRPr="008B1D5B">
        <w:t xml:space="preserve"> system provided for a recognized occupational qualification, achieved through structured institutional learning </w:t>
      </w:r>
      <w:r w:rsidRPr="009E6C3B">
        <w:t>and</w:t>
      </w:r>
      <w:r w:rsidRPr="008B1D5B">
        <w:t xml:space="preserve"> applied competence developed through workplace-based learning, both at the lower-level (1-3) and higher-level (5-8) bands of the National Qualifications Framework (NQF). They also provided for annual exit-levels enabling people to achieve part qualifications. </w:t>
      </w:r>
      <w:proofErr w:type="spellStart"/>
      <w:r w:rsidRPr="008B1D5B">
        <w:t>Learnerships</w:t>
      </w:r>
      <w:proofErr w:type="spellEnd"/>
      <w:r w:rsidRPr="008B1D5B">
        <w:t xml:space="preserve"> only started to deliver qualified people towards the second half of </w:t>
      </w:r>
      <w:r w:rsidR="00404B3B">
        <w:t>NSDS I</w:t>
      </w:r>
      <w:r w:rsidRPr="008B1D5B">
        <w:t>, but by the end of NSDS</w:t>
      </w:r>
      <w:r w:rsidR="00DC0FE6">
        <w:t xml:space="preserve"> </w:t>
      </w:r>
      <w:r w:rsidRPr="008B1D5B">
        <w:t xml:space="preserve">II they were assessed by the HSRC as being quite effective, with a large </w:t>
      </w:r>
      <w:r w:rsidR="005B4448" w:rsidRPr="008B1D5B">
        <w:t>proportion (</w:t>
      </w:r>
      <w:r w:rsidR="0037275B" w:rsidRPr="008B1D5B">
        <w:t>over 70%)</w:t>
      </w:r>
      <w:r w:rsidR="0037275B">
        <w:t xml:space="preserve"> </w:t>
      </w:r>
      <w:r w:rsidRPr="008B1D5B">
        <w:t xml:space="preserve">of those </w:t>
      </w:r>
      <w:r w:rsidR="005B4448" w:rsidRPr="008B1D5B">
        <w:t>qualifying</w:t>
      </w:r>
      <w:r w:rsidR="0037275B">
        <w:t xml:space="preserve"> being able to find work</w:t>
      </w:r>
      <w:r w:rsidRPr="008B1D5B">
        <w:t xml:space="preserve">. </w:t>
      </w:r>
    </w:p>
    <w:p w14:paraId="798509CF" w14:textId="77777777" w:rsidR="008B1D5B" w:rsidRDefault="00404B3B" w:rsidP="008C07CF">
      <w:r>
        <w:t>NSDS I</w:t>
      </w:r>
      <w:r w:rsidR="008B1D5B" w:rsidRPr="008B1D5B">
        <w:t xml:space="preserve"> can therefore broadly be described as the strategy </w:t>
      </w:r>
      <w:r w:rsidR="003D7F8F">
        <w:t>tha</w:t>
      </w:r>
      <w:r w:rsidR="0037275B">
        <w:t>t</w:t>
      </w:r>
      <w:r w:rsidR="008B1D5B" w:rsidRPr="008B1D5B">
        <w:t xml:space="preserve"> launch</w:t>
      </w:r>
      <w:r w:rsidR="003D7F8F">
        <w:t>ed</w:t>
      </w:r>
      <w:r w:rsidR="008B1D5B" w:rsidRPr="008B1D5B">
        <w:t xml:space="preserve"> and establish</w:t>
      </w:r>
      <w:r w:rsidR="003D7F8F">
        <w:t>ed</w:t>
      </w:r>
      <w:r w:rsidR="008B1D5B" w:rsidRPr="008B1D5B">
        <w:t xml:space="preserve"> the skills system. </w:t>
      </w:r>
      <w:r w:rsidR="002B1590">
        <w:t>NSDS II</w:t>
      </w:r>
      <w:r w:rsidR="008B1D5B" w:rsidRPr="008B1D5B">
        <w:t xml:space="preserve"> was </w:t>
      </w:r>
      <w:r w:rsidR="00440111">
        <w:t>characterized by</w:t>
      </w:r>
      <w:r w:rsidR="008B1D5B" w:rsidRPr="008B1D5B">
        <w:t xml:space="preserve"> accelerated delivery in terms of numbers of people trained</w:t>
      </w:r>
      <w:r w:rsidR="00440111">
        <w:t xml:space="preserve">. </w:t>
      </w:r>
      <w:r w:rsidR="003D7F8F">
        <w:t>Ho</w:t>
      </w:r>
      <w:r w:rsidR="00440111">
        <w:t xml:space="preserve">wever, this </w:t>
      </w:r>
      <w:r w:rsidR="003763F8">
        <w:t xml:space="preserve">numerical success </w:t>
      </w:r>
      <w:r w:rsidR="00440111">
        <w:t xml:space="preserve">was </w:t>
      </w:r>
      <w:r w:rsidR="003763F8">
        <w:t>accompanied</w:t>
      </w:r>
      <w:r w:rsidR="00440111">
        <w:t xml:space="preserve"> </w:t>
      </w:r>
      <w:r w:rsidR="003763F8">
        <w:t>by</w:t>
      </w:r>
      <w:r w:rsidR="008B1D5B" w:rsidRPr="008B1D5B">
        <w:t xml:space="preserve"> widespread concern</w:t>
      </w:r>
      <w:r w:rsidR="00440111">
        <w:t>s</w:t>
      </w:r>
      <w:r w:rsidR="008B1D5B" w:rsidRPr="008B1D5B">
        <w:t xml:space="preserve"> that the system was overly bureaucratic, often inefficient and vulnerable to abuse and corruption. </w:t>
      </w:r>
      <w:r w:rsidR="002B1590">
        <w:t>NSDS III</w:t>
      </w:r>
      <w:r w:rsidR="008B1D5B" w:rsidRPr="008B1D5B">
        <w:t xml:space="preserve"> was initiated at a time when </w:t>
      </w:r>
      <w:r w:rsidR="0037275B">
        <w:t xml:space="preserve">the efficacy and effectiveness of </w:t>
      </w:r>
      <w:r w:rsidR="008B1D5B" w:rsidRPr="008B1D5B">
        <w:t xml:space="preserve">skills development </w:t>
      </w:r>
      <w:r w:rsidR="0037275B">
        <w:t>to address national skills shor</w:t>
      </w:r>
      <w:r w:rsidR="00DC0FE6">
        <w:t>t</w:t>
      </w:r>
      <w:r w:rsidR="0037275B">
        <w:t xml:space="preserve">ages </w:t>
      </w:r>
      <w:r w:rsidR="00121AEB">
        <w:t xml:space="preserve">and mismatches </w:t>
      </w:r>
      <w:r w:rsidR="0037275B">
        <w:t xml:space="preserve">was under scrutiny. </w:t>
      </w:r>
    </w:p>
    <w:p w14:paraId="7FD652DD" w14:textId="77777777" w:rsidR="00E01FCE" w:rsidRDefault="00B97113" w:rsidP="008C07CF">
      <w:pPr>
        <w:pStyle w:val="Heading2"/>
      </w:pPr>
      <w:bookmarkStart w:id="15" w:name="_Toc488525865"/>
      <w:r>
        <w:t>Policy and legislative imperatives</w:t>
      </w:r>
      <w:bookmarkEnd w:id="15"/>
    </w:p>
    <w:p w14:paraId="5C35F479" w14:textId="77777777" w:rsidR="00404B3B" w:rsidRPr="00404B3B" w:rsidRDefault="001516F0" w:rsidP="008C07CF">
      <w:r w:rsidRPr="000537CC">
        <w:t>There are m</w:t>
      </w:r>
      <w:r>
        <w:t xml:space="preserve">any </w:t>
      </w:r>
      <w:r w:rsidRPr="000537CC">
        <w:t xml:space="preserve">pieces of legislation that speak to human resource development. There are various Acts and Regulations related to the provision of education and training at different levels (general, further and higher education), others addressing public sector and public service human resource development and capacity, others related to economic and industrial strategy, special economic zones </w:t>
      </w:r>
      <w:r w:rsidR="008C07CF" w:rsidRPr="000537CC">
        <w:t>etc.</w:t>
      </w:r>
      <w:r w:rsidRPr="000537CC">
        <w:t>, and others relating to youth employment and training.</w:t>
      </w:r>
      <w:r>
        <w:t xml:space="preserve"> </w:t>
      </w:r>
      <w:r w:rsidRPr="000537CC">
        <w:t xml:space="preserve">The intention of </w:t>
      </w:r>
      <w:r>
        <w:t>NSDS III</w:t>
      </w:r>
      <w:r w:rsidRPr="000537CC">
        <w:t xml:space="preserve"> was that skills development would continue to be defined by the Skills Development Act but that it would also support and complement the overarching government strategy for human resource development and the challenge of achieving the wider socio-economic goals of the country.</w:t>
      </w:r>
      <w:r>
        <w:t xml:space="preserve"> The following are of relevance to the NSDS III:</w:t>
      </w:r>
    </w:p>
    <w:p w14:paraId="1CF0C078" w14:textId="77777777" w:rsidR="00846938" w:rsidRPr="000537CC" w:rsidRDefault="00D11E02" w:rsidP="008C07CF">
      <w:r w:rsidRPr="000537CC">
        <w:rPr>
          <w:b/>
        </w:rPr>
        <w:t>H</w:t>
      </w:r>
      <w:r w:rsidR="005427DC" w:rsidRPr="000537CC">
        <w:rPr>
          <w:b/>
        </w:rPr>
        <w:t>R</w:t>
      </w:r>
      <w:r w:rsidR="000626F6" w:rsidRPr="000537CC">
        <w:rPr>
          <w:b/>
        </w:rPr>
        <w:t>D</w:t>
      </w:r>
      <w:r w:rsidR="005427DC" w:rsidRPr="000537CC">
        <w:rPr>
          <w:b/>
        </w:rPr>
        <w:t>-</w:t>
      </w:r>
      <w:r w:rsidR="00241A47" w:rsidRPr="000537CC">
        <w:rPr>
          <w:b/>
        </w:rPr>
        <w:t>S</w:t>
      </w:r>
      <w:r w:rsidR="005427DC" w:rsidRPr="000537CC">
        <w:rPr>
          <w:b/>
        </w:rPr>
        <w:t>A</w:t>
      </w:r>
      <w:r w:rsidR="00241A47" w:rsidRPr="000537CC">
        <w:rPr>
          <w:b/>
        </w:rPr>
        <w:t xml:space="preserve"> (2010-2030</w:t>
      </w:r>
      <w:r w:rsidR="00E63A53" w:rsidRPr="000537CC">
        <w:rPr>
          <w:b/>
        </w:rPr>
        <w:t>)</w:t>
      </w:r>
      <w:r w:rsidR="00232882" w:rsidRPr="000537CC">
        <w:rPr>
          <w:b/>
        </w:rPr>
        <w:t>:</w:t>
      </w:r>
      <w:r w:rsidR="00E63A53" w:rsidRPr="000537CC">
        <w:t xml:space="preserve"> </w:t>
      </w:r>
      <w:r w:rsidR="00232882" w:rsidRPr="000537CC">
        <w:t>O</w:t>
      </w:r>
      <w:r w:rsidR="00E63A53" w:rsidRPr="000537CC">
        <w:t xml:space="preserve">utlines the </w:t>
      </w:r>
      <w:r w:rsidR="00232882" w:rsidRPr="000537CC">
        <w:t>‘</w:t>
      </w:r>
      <w:r w:rsidR="00E63A53" w:rsidRPr="000537CC">
        <w:t xml:space="preserve">8 </w:t>
      </w:r>
      <w:r w:rsidR="00232882" w:rsidRPr="000537CC">
        <w:t>C</w:t>
      </w:r>
      <w:r w:rsidR="00E63A53" w:rsidRPr="000537CC">
        <w:t>ommitments</w:t>
      </w:r>
      <w:r w:rsidR="00232882" w:rsidRPr="000537CC">
        <w:t>’</w:t>
      </w:r>
      <w:r w:rsidR="00E63A53" w:rsidRPr="000537CC">
        <w:t xml:space="preserve"> that frame all human resources development initiatives and </w:t>
      </w:r>
      <w:proofErr w:type="spellStart"/>
      <w:r w:rsidR="00E63A53" w:rsidRPr="000537CC">
        <w:t>programmes</w:t>
      </w:r>
      <w:proofErr w:type="spellEnd"/>
      <w:r w:rsidR="00E63A53" w:rsidRPr="000537CC">
        <w:t xml:space="preserve"> in the country</w:t>
      </w:r>
      <w:r w:rsidR="00241A47" w:rsidRPr="000537CC">
        <w:t>, and sets targets that are to be achieved over a specific</w:t>
      </w:r>
      <w:r w:rsidR="0047721A" w:rsidRPr="000537CC">
        <w:t xml:space="preserve"> period</w:t>
      </w:r>
      <w:r w:rsidR="005C0307" w:rsidRPr="000537CC">
        <w:t>.</w:t>
      </w:r>
    </w:p>
    <w:p w14:paraId="5B146E65" w14:textId="77777777" w:rsidR="00846938" w:rsidRDefault="00D11E02" w:rsidP="008C07CF">
      <w:r w:rsidRPr="000537CC">
        <w:rPr>
          <w:b/>
        </w:rPr>
        <w:lastRenderedPageBreak/>
        <w:t>S</w:t>
      </w:r>
      <w:r w:rsidR="00E63A53" w:rsidRPr="000537CC">
        <w:rPr>
          <w:b/>
        </w:rPr>
        <w:t>DA</w:t>
      </w:r>
      <w:r w:rsidRPr="000537CC">
        <w:rPr>
          <w:b/>
        </w:rPr>
        <w:t xml:space="preserve"> </w:t>
      </w:r>
      <w:r w:rsidR="00E63A53" w:rsidRPr="000537CC">
        <w:rPr>
          <w:b/>
        </w:rPr>
        <w:t>(No</w:t>
      </w:r>
      <w:r w:rsidR="00BF055F" w:rsidRPr="000537CC">
        <w:rPr>
          <w:b/>
        </w:rPr>
        <w:t xml:space="preserve">. </w:t>
      </w:r>
      <w:r w:rsidR="00E63A53" w:rsidRPr="000537CC">
        <w:rPr>
          <w:b/>
        </w:rPr>
        <w:t>97 of 1998)</w:t>
      </w:r>
      <w:r w:rsidR="0010306D" w:rsidRPr="000537CC">
        <w:rPr>
          <w:b/>
        </w:rPr>
        <w:t>:</w:t>
      </w:r>
      <w:r w:rsidR="00E63A53" w:rsidRPr="000537CC">
        <w:t xml:space="preserve"> Section 9 of the Act establishes the SETAs</w:t>
      </w:r>
      <w:r w:rsidR="00232882" w:rsidRPr="000537CC">
        <w:t xml:space="preserve"> </w:t>
      </w:r>
      <w:r w:rsidR="0010306D" w:rsidRPr="000537CC">
        <w:t xml:space="preserve">which are required to </w:t>
      </w:r>
      <w:r w:rsidR="003763F8" w:rsidRPr="000537CC">
        <w:t xml:space="preserve">develop </w:t>
      </w:r>
      <w:r w:rsidR="0010306D" w:rsidRPr="000537CC">
        <w:t xml:space="preserve">SSPs </w:t>
      </w:r>
      <w:r w:rsidR="003763F8" w:rsidRPr="000537CC">
        <w:t xml:space="preserve">and implement them </w:t>
      </w:r>
      <w:r w:rsidR="0010306D" w:rsidRPr="000537CC">
        <w:t>by facilitating the</w:t>
      </w:r>
      <w:r w:rsidR="003763F8" w:rsidRPr="000537CC">
        <w:t xml:space="preserve"> delivery of improved industry/</w:t>
      </w:r>
      <w:r w:rsidR="0010306D" w:rsidRPr="000537CC">
        <w:t xml:space="preserve"> sector-specific skills to contribute towards the goals of the NSDS through </w:t>
      </w:r>
      <w:proofErr w:type="spellStart"/>
      <w:r w:rsidR="0010306D" w:rsidRPr="000537CC">
        <w:t>learnerships</w:t>
      </w:r>
      <w:proofErr w:type="spellEnd"/>
      <w:r w:rsidR="0010306D" w:rsidRPr="000537CC">
        <w:t xml:space="preserve">, internships and skills </w:t>
      </w:r>
      <w:proofErr w:type="spellStart"/>
      <w:r w:rsidR="0010306D" w:rsidRPr="000537CC">
        <w:t>programmes</w:t>
      </w:r>
      <w:proofErr w:type="spellEnd"/>
      <w:r w:rsidR="0010306D" w:rsidRPr="000537CC">
        <w:t>.</w:t>
      </w:r>
    </w:p>
    <w:p w14:paraId="39DBF860" w14:textId="77777777" w:rsidR="00BF1BAB" w:rsidRPr="000537CC" w:rsidRDefault="00BF055F" w:rsidP="008C07CF">
      <w:r w:rsidRPr="000537CC">
        <w:rPr>
          <w:b/>
        </w:rPr>
        <w:t>SDLA (No.9 of 1999)</w:t>
      </w:r>
      <w:r w:rsidR="000626F6" w:rsidRPr="000537CC">
        <w:rPr>
          <w:b/>
        </w:rPr>
        <w:t>:</w:t>
      </w:r>
      <w:r w:rsidR="000626F6" w:rsidRPr="000537CC">
        <w:t xml:space="preserve"> P</w:t>
      </w:r>
      <w:r w:rsidRPr="000537CC">
        <w:t>rovide</w:t>
      </w:r>
      <w:r w:rsidR="000626F6" w:rsidRPr="000537CC">
        <w:t>s</w:t>
      </w:r>
      <w:r w:rsidRPr="000537CC">
        <w:t xml:space="preserve"> for the </w:t>
      </w:r>
      <w:r w:rsidR="003763F8" w:rsidRPr="000537CC">
        <w:t>payment</w:t>
      </w:r>
      <w:r w:rsidRPr="000537CC">
        <w:t xml:space="preserve"> of skills levy </w:t>
      </w:r>
      <w:r w:rsidR="003763F8" w:rsidRPr="000537CC">
        <w:t>by</w:t>
      </w:r>
      <w:r w:rsidRPr="000537CC">
        <w:t xml:space="preserve"> employers</w:t>
      </w:r>
      <w:r w:rsidR="003763F8" w:rsidRPr="000537CC">
        <w:t xml:space="preserve"> to their respective SETAs</w:t>
      </w:r>
      <w:r w:rsidRPr="000537CC">
        <w:t xml:space="preserve">.  </w:t>
      </w:r>
      <w:r w:rsidR="003763F8" w:rsidRPr="000537CC">
        <w:t xml:space="preserve">During </w:t>
      </w:r>
      <w:r w:rsidR="002B1590">
        <w:t>NSDS III</w:t>
      </w:r>
      <w:r w:rsidR="003763F8" w:rsidRPr="000537CC">
        <w:t xml:space="preserve"> the income from the levy amounted to some R10b a year.</w:t>
      </w:r>
    </w:p>
    <w:p w14:paraId="46D452FE" w14:textId="77777777" w:rsidR="00E01FCE" w:rsidRPr="000537CC" w:rsidRDefault="00D11E02" w:rsidP="008C07CF">
      <w:r w:rsidRPr="000537CC">
        <w:rPr>
          <w:b/>
        </w:rPr>
        <w:t>N</w:t>
      </w:r>
      <w:r w:rsidR="001516F0">
        <w:rPr>
          <w:b/>
        </w:rPr>
        <w:t>SDS (I-II</w:t>
      </w:r>
      <w:r w:rsidR="00232882" w:rsidRPr="000537CC">
        <w:rPr>
          <w:b/>
        </w:rPr>
        <w:t>):</w:t>
      </w:r>
      <w:r w:rsidR="00232882" w:rsidRPr="000537CC">
        <w:t xml:space="preserve"> P</w:t>
      </w:r>
      <w:r w:rsidR="002C5BBC" w:rsidRPr="000537CC">
        <w:t>rovides a framework for planning and implement</w:t>
      </w:r>
      <w:r w:rsidR="00232882" w:rsidRPr="000537CC">
        <w:t xml:space="preserve">ing </w:t>
      </w:r>
      <w:r w:rsidR="00E63A53" w:rsidRPr="000537CC">
        <w:t xml:space="preserve">skills development </w:t>
      </w:r>
      <w:proofErr w:type="spellStart"/>
      <w:r w:rsidR="002C5BBC" w:rsidRPr="000537CC">
        <w:t>programmes</w:t>
      </w:r>
      <w:proofErr w:type="spellEnd"/>
      <w:r w:rsidR="002C5BBC" w:rsidRPr="000537CC">
        <w:t xml:space="preserve"> and activities as set out in policy and legislation</w:t>
      </w:r>
      <w:r w:rsidR="00E63A53" w:rsidRPr="000537CC">
        <w:t>.</w:t>
      </w:r>
    </w:p>
    <w:p w14:paraId="5A80A520" w14:textId="77777777" w:rsidR="00F37324" w:rsidRPr="000537CC" w:rsidRDefault="00F37324" w:rsidP="008C07CF">
      <w:r w:rsidRPr="000537CC">
        <w:rPr>
          <w:b/>
        </w:rPr>
        <w:t>NQF Act</w:t>
      </w:r>
      <w:r w:rsidR="002E2459" w:rsidRPr="000537CC">
        <w:rPr>
          <w:b/>
        </w:rPr>
        <w:t>:</w:t>
      </w:r>
      <w:r w:rsidR="002E2459" w:rsidRPr="000537CC">
        <w:t xml:space="preserve"> Provides for the further development, organization and governance of the NQF</w:t>
      </w:r>
      <w:r w:rsidR="006D043A" w:rsidRPr="000537CC">
        <w:t>, including the establishment of three sub-framework quality councils</w:t>
      </w:r>
      <w:r w:rsidRPr="000537CC">
        <w:t>.</w:t>
      </w:r>
      <w:r w:rsidR="00150499" w:rsidRPr="000537CC">
        <w:t xml:space="preserve"> The establishment of the Quality Council for Trades and Occupations (QCTO) was of particular importan</w:t>
      </w:r>
      <w:r w:rsidR="00845193" w:rsidRPr="000537CC">
        <w:t xml:space="preserve">ce during the period of </w:t>
      </w:r>
      <w:r w:rsidR="002B1590">
        <w:t>NSDS III</w:t>
      </w:r>
      <w:r w:rsidR="00845193" w:rsidRPr="000537CC">
        <w:t xml:space="preserve"> as the intention was to create a whole new sub-framework of occupational qualifications that would be aligned to the needs of industry and which would assist the skills development project by achieving a clearer focus on occupations and the qualifications needed for them. </w:t>
      </w:r>
    </w:p>
    <w:p w14:paraId="144BA813" w14:textId="77777777" w:rsidR="00423FCD" w:rsidRPr="000537CC" w:rsidRDefault="001516F0" w:rsidP="008C07CF">
      <w:r w:rsidRPr="000537CC">
        <w:t xml:space="preserve">HRD is an integral part of many aspects of economic and development policy and strategy, something </w:t>
      </w:r>
      <w:r>
        <w:t xml:space="preserve">which was </w:t>
      </w:r>
      <w:r w:rsidRPr="000537CC">
        <w:t>emphasized in the National Development Plan</w:t>
      </w:r>
      <w:r>
        <w:t xml:space="preserve"> which was published after the NSDS III</w:t>
      </w:r>
      <w:r w:rsidRPr="000537CC">
        <w:t>.</w:t>
      </w:r>
    </w:p>
    <w:p w14:paraId="357BA683" w14:textId="77777777" w:rsidR="005D4478" w:rsidRPr="009D4C8C" w:rsidRDefault="00B97113" w:rsidP="008C07CF">
      <w:pPr>
        <w:pStyle w:val="Heading2"/>
      </w:pPr>
      <w:bookmarkStart w:id="16" w:name="_Toc488525866"/>
      <w:r>
        <w:t>Methodology</w:t>
      </w:r>
      <w:bookmarkEnd w:id="16"/>
    </w:p>
    <w:p w14:paraId="63AFBF9D" w14:textId="77777777" w:rsidR="00FE546C" w:rsidRPr="009D4C8C" w:rsidRDefault="005D4478" w:rsidP="008C07CF">
      <w:pPr>
        <w:rPr>
          <w:lang w:val="en-ZA"/>
        </w:rPr>
      </w:pPr>
      <w:r w:rsidRPr="009D4C8C">
        <w:rPr>
          <w:lang w:val="en-ZA"/>
        </w:rPr>
        <w:t xml:space="preserve">The </w:t>
      </w:r>
      <w:r w:rsidR="00121AEB">
        <w:rPr>
          <w:lang w:val="en-ZA"/>
        </w:rPr>
        <w:t xml:space="preserve">structure of </w:t>
      </w:r>
      <w:r w:rsidR="00DC0FE6">
        <w:rPr>
          <w:lang w:val="en-ZA"/>
        </w:rPr>
        <w:t>t</w:t>
      </w:r>
      <w:r w:rsidR="00121AEB">
        <w:rPr>
          <w:lang w:val="en-ZA"/>
        </w:rPr>
        <w:t xml:space="preserve">he baseline </w:t>
      </w:r>
      <w:r w:rsidR="005C0307" w:rsidRPr="009D4C8C">
        <w:rPr>
          <w:lang w:val="en-ZA"/>
        </w:rPr>
        <w:t>study</w:t>
      </w:r>
      <w:r w:rsidR="009F53B9" w:rsidRPr="009D4C8C">
        <w:rPr>
          <w:lang w:val="en-ZA"/>
        </w:rPr>
        <w:t xml:space="preserve"> </w:t>
      </w:r>
      <w:r w:rsidR="00121AEB">
        <w:rPr>
          <w:lang w:val="en-ZA"/>
        </w:rPr>
        <w:t xml:space="preserve">was shaped </w:t>
      </w:r>
      <w:r w:rsidR="00215C4E">
        <w:rPr>
          <w:lang w:val="en-ZA"/>
        </w:rPr>
        <w:t xml:space="preserve">by </w:t>
      </w:r>
      <w:r w:rsidR="001516F0">
        <w:rPr>
          <w:lang w:val="en-ZA"/>
        </w:rPr>
        <w:t xml:space="preserve">the design of </w:t>
      </w:r>
      <w:r w:rsidR="00DC0FE6">
        <w:rPr>
          <w:lang w:val="en-ZA"/>
        </w:rPr>
        <w:t xml:space="preserve">the NSDS III, and followed </w:t>
      </w:r>
      <w:r w:rsidR="00340FBD" w:rsidRPr="00A03B8F">
        <w:rPr>
          <w:lang w:val="en-ZA"/>
        </w:rPr>
        <w:t>guided questions</w:t>
      </w:r>
      <w:r w:rsidRPr="009D4C8C">
        <w:rPr>
          <w:lang w:val="en-ZA"/>
        </w:rPr>
        <w:t xml:space="preserve"> derived from the </w:t>
      </w:r>
      <w:r w:rsidR="00121AEB">
        <w:rPr>
          <w:lang w:val="en-ZA"/>
        </w:rPr>
        <w:t>‘</w:t>
      </w:r>
      <w:r w:rsidRPr="009D4C8C">
        <w:rPr>
          <w:lang w:val="en-ZA"/>
        </w:rPr>
        <w:t>problem s</w:t>
      </w:r>
      <w:r w:rsidR="00693A88">
        <w:rPr>
          <w:lang w:val="en-ZA"/>
        </w:rPr>
        <w:t>tatement</w:t>
      </w:r>
      <w:r w:rsidR="00121AEB">
        <w:rPr>
          <w:lang w:val="en-ZA"/>
        </w:rPr>
        <w:t>’</w:t>
      </w:r>
      <w:r w:rsidR="00693A88">
        <w:rPr>
          <w:lang w:val="en-ZA"/>
        </w:rPr>
        <w:t xml:space="preserve"> for each of the 8 </w:t>
      </w:r>
      <w:r w:rsidR="00296597" w:rsidRPr="009D4C8C">
        <w:rPr>
          <w:lang w:val="en-ZA"/>
        </w:rPr>
        <w:t>Strategic G</w:t>
      </w:r>
      <w:r w:rsidRPr="009D4C8C">
        <w:rPr>
          <w:lang w:val="en-ZA"/>
        </w:rPr>
        <w:t>oals</w:t>
      </w:r>
      <w:r w:rsidR="005427DC" w:rsidRPr="009D4C8C">
        <w:rPr>
          <w:lang w:val="en-ZA"/>
        </w:rPr>
        <w:t>, O</w:t>
      </w:r>
      <w:r w:rsidR="005C0307" w:rsidRPr="009D4C8C">
        <w:rPr>
          <w:lang w:val="en-ZA"/>
        </w:rPr>
        <w:t xml:space="preserve">utcomes and </w:t>
      </w:r>
      <w:r w:rsidR="005427DC" w:rsidRPr="009D4C8C">
        <w:rPr>
          <w:lang w:val="en-ZA"/>
        </w:rPr>
        <w:t>O</w:t>
      </w:r>
      <w:r w:rsidR="005C0307" w:rsidRPr="009D4C8C">
        <w:rPr>
          <w:lang w:val="en-ZA"/>
        </w:rPr>
        <w:t>utputs</w:t>
      </w:r>
      <w:r w:rsidRPr="009D4C8C">
        <w:rPr>
          <w:lang w:val="en-ZA"/>
        </w:rPr>
        <w:t>.</w:t>
      </w:r>
      <w:r w:rsidR="00636F34" w:rsidRPr="009D4C8C">
        <w:rPr>
          <w:lang w:val="en-ZA"/>
        </w:rPr>
        <w:t xml:space="preserve"> </w:t>
      </w:r>
      <w:r w:rsidR="009F53B9" w:rsidRPr="009D4C8C">
        <w:rPr>
          <w:lang w:val="en-ZA"/>
        </w:rPr>
        <w:t>In some cases, t</w:t>
      </w:r>
      <w:r w:rsidR="00636F34" w:rsidRPr="009D4C8C">
        <w:rPr>
          <w:lang w:val="en-ZA"/>
        </w:rPr>
        <w:t xml:space="preserve">he </w:t>
      </w:r>
      <w:r w:rsidR="00636F34" w:rsidRPr="009D4C8C">
        <w:rPr>
          <w:i/>
          <w:lang w:val="en-ZA"/>
        </w:rPr>
        <w:t>Theory of Change</w:t>
      </w:r>
      <w:r w:rsidR="00636F34" w:rsidRPr="009D4C8C">
        <w:rPr>
          <w:lang w:val="en-ZA"/>
        </w:rPr>
        <w:t xml:space="preserve"> </w:t>
      </w:r>
      <w:r w:rsidR="00693A88">
        <w:rPr>
          <w:lang w:val="en-ZA"/>
        </w:rPr>
        <w:t xml:space="preserve">endorsed by the </w:t>
      </w:r>
      <w:r w:rsidR="00636F34" w:rsidRPr="009D4C8C">
        <w:rPr>
          <w:lang w:val="en-ZA"/>
        </w:rPr>
        <w:t>N</w:t>
      </w:r>
      <w:r w:rsidR="005C0307" w:rsidRPr="009D4C8C">
        <w:rPr>
          <w:lang w:val="en-ZA"/>
        </w:rPr>
        <w:t>ational Skills Authority (N</w:t>
      </w:r>
      <w:r w:rsidR="00636F34" w:rsidRPr="009D4C8C">
        <w:rPr>
          <w:lang w:val="en-ZA"/>
        </w:rPr>
        <w:t>SA</w:t>
      </w:r>
      <w:r w:rsidR="005C0307" w:rsidRPr="009D4C8C">
        <w:rPr>
          <w:lang w:val="en-ZA"/>
        </w:rPr>
        <w:t>)</w:t>
      </w:r>
      <w:r w:rsidR="00FE546C" w:rsidRPr="009D4C8C">
        <w:rPr>
          <w:lang w:val="en-ZA"/>
        </w:rPr>
        <w:t xml:space="preserve"> </w:t>
      </w:r>
      <w:r w:rsidR="009F53B9" w:rsidRPr="009D4C8C">
        <w:rPr>
          <w:lang w:val="en-ZA"/>
        </w:rPr>
        <w:t>was applied to e</w:t>
      </w:r>
      <w:r w:rsidR="00FE546C" w:rsidRPr="009D4C8C">
        <w:rPr>
          <w:lang w:val="en-ZA"/>
        </w:rPr>
        <w:t xml:space="preserve">nable the </w:t>
      </w:r>
      <w:r w:rsidR="003D7F8F">
        <w:rPr>
          <w:lang w:val="en-ZA"/>
        </w:rPr>
        <w:t xml:space="preserve">baseline </w:t>
      </w:r>
      <w:r w:rsidR="00FE546C" w:rsidRPr="009D4C8C">
        <w:rPr>
          <w:lang w:val="en-ZA"/>
        </w:rPr>
        <w:t xml:space="preserve">study to </w:t>
      </w:r>
      <w:r w:rsidR="00636F34" w:rsidRPr="009D4C8C">
        <w:rPr>
          <w:lang w:val="en-ZA"/>
        </w:rPr>
        <w:t xml:space="preserve">build </w:t>
      </w:r>
      <w:r w:rsidR="00FE546C" w:rsidRPr="009D4C8C">
        <w:rPr>
          <w:lang w:val="en-ZA"/>
        </w:rPr>
        <w:t xml:space="preserve">a </w:t>
      </w:r>
      <w:r w:rsidR="00FE546C" w:rsidRPr="009D4C8C">
        <w:rPr>
          <w:i/>
          <w:lang w:val="en-ZA"/>
        </w:rPr>
        <w:t>‘</w:t>
      </w:r>
      <w:r w:rsidR="00636F34" w:rsidRPr="009D4C8C">
        <w:rPr>
          <w:i/>
          <w:lang w:val="en-ZA"/>
        </w:rPr>
        <w:t>case</w:t>
      </w:r>
      <w:r w:rsidR="00FE546C" w:rsidRPr="009D4C8C">
        <w:rPr>
          <w:i/>
          <w:lang w:val="en-ZA"/>
        </w:rPr>
        <w:t>’</w:t>
      </w:r>
      <w:r w:rsidR="00636F34" w:rsidRPr="009D4C8C">
        <w:rPr>
          <w:lang w:val="en-ZA"/>
        </w:rPr>
        <w:t xml:space="preserve"> </w:t>
      </w:r>
      <w:r w:rsidR="00FE546C" w:rsidRPr="009D4C8C">
        <w:rPr>
          <w:lang w:val="en-ZA"/>
        </w:rPr>
        <w:t xml:space="preserve">and to construct an assumption </w:t>
      </w:r>
      <w:r w:rsidR="00636F34" w:rsidRPr="009D4C8C">
        <w:rPr>
          <w:lang w:val="en-ZA"/>
        </w:rPr>
        <w:t xml:space="preserve">where data appeared </w:t>
      </w:r>
      <w:r w:rsidR="00FE546C" w:rsidRPr="009D4C8C">
        <w:rPr>
          <w:lang w:val="en-ZA"/>
        </w:rPr>
        <w:t xml:space="preserve">inconsistent and </w:t>
      </w:r>
      <w:r w:rsidR="00636F34" w:rsidRPr="009D4C8C">
        <w:rPr>
          <w:lang w:val="en-ZA"/>
        </w:rPr>
        <w:t xml:space="preserve">incoherent. </w:t>
      </w:r>
      <w:r w:rsidR="00C41EF6">
        <w:rPr>
          <w:lang w:val="en-ZA"/>
        </w:rPr>
        <w:t xml:space="preserve">In some cases, examples were used to </w:t>
      </w:r>
      <w:r w:rsidR="005B4448">
        <w:rPr>
          <w:lang w:val="en-ZA"/>
        </w:rPr>
        <w:t>construct scenarios</w:t>
      </w:r>
      <w:r w:rsidR="00C41EF6">
        <w:rPr>
          <w:lang w:val="en-ZA"/>
        </w:rPr>
        <w:t xml:space="preserve">. </w:t>
      </w:r>
    </w:p>
    <w:p w14:paraId="6856C393" w14:textId="77777777" w:rsidR="0011669A" w:rsidRPr="009D4C8C" w:rsidRDefault="005C0307" w:rsidP="008C07CF">
      <w:r w:rsidRPr="009D4C8C">
        <w:rPr>
          <w:lang w:val="en-ZA"/>
        </w:rPr>
        <w:t xml:space="preserve">Key data sources included </w:t>
      </w:r>
      <w:r w:rsidR="00340FBD" w:rsidRPr="009D4C8C">
        <w:rPr>
          <w:lang w:val="en-ZA"/>
        </w:rPr>
        <w:t xml:space="preserve">public </w:t>
      </w:r>
      <w:r w:rsidR="005427DC" w:rsidRPr="009D4C8C">
        <w:rPr>
          <w:lang w:val="en-ZA"/>
        </w:rPr>
        <w:t>documents</w:t>
      </w:r>
      <w:r w:rsidR="003D7F8F">
        <w:rPr>
          <w:lang w:val="en-ZA"/>
        </w:rPr>
        <w:t xml:space="preserve"> such as</w:t>
      </w:r>
      <w:r w:rsidRPr="009D4C8C">
        <w:t xml:space="preserve"> legislation</w:t>
      </w:r>
      <w:r w:rsidR="00DC0FE6">
        <w:t>,</w:t>
      </w:r>
      <w:r w:rsidR="00DC0FE6" w:rsidRPr="00DC0FE6">
        <w:t xml:space="preserve"> </w:t>
      </w:r>
      <w:r w:rsidR="00DC0FE6" w:rsidRPr="009D4C8C">
        <w:t xml:space="preserve">DHET </w:t>
      </w:r>
      <w:r w:rsidR="00DC0FE6">
        <w:t>policy frameworks and reports</w:t>
      </w:r>
      <w:r w:rsidRPr="009D4C8C">
        <w:t>, r</w:t>
      </w:r>
      <w:r w:rsidR="00636F34" w:rsidRPr="009D4C8C">
        <w:t xml:space="preserve">esearch </w:t>
      </w:r>
      <w:r w:rsidR="00DC0FE6">
        <w:t>and</w:t>
      </w:r>
      <w:r w:rsidR="00340FBD" w:rsidRPr="009D4C8C">
        <w:t xml:space="preserve"> </w:t>
      </w:r>
      <w:r w:rsidR="00203F16" w:rsidRPr="009D4C8C">
        <w:t>s</w:t>
      </w:r>
      <w:r w:rsidR="00636F34" w:rsidRPr="009D4C8C">
        <w:t>tatistic</w:t>
      </w:r>
      <w:r w:rsidR="001258FE">
        <w:t>al</w:t>
      </w:r>
      <w:r w:rsidR="00636F34" w:rsidRPr="009D4C8C">
        <w:t xml:space="preserve"> </w:t>
      </w:r>
      <w:r w:rsidR="00203F16" w:rsidRPr="009D4C8C">
        <w:t>r</w:t>
      </w:r>
      <w:r w:rsidR="00636F34" w:rsidRPr="009D4C8C">
        <w:t>eports</w:t>
      </w:r>
      <w:r w:rsidR="009F53B9" w:rsidRPr="009D4C8C">
        <w:t xml:space="preserve">, </w:t>
      </w:r>
      <w:r w:rsidR="001258FE">
        <w:t xml:space="preserve">a </w:t>
      </w:r>
      <w:r w:rsidR="00693A88">
        <w:t xml:space="preserve">selected number of </w:t>
      </w:r>
      <w:r w:rsidR="001516F0">
        <w:t xml:space="preserve">SETA </w:t>
      </w:r>
      <w:r w:rsidR="00536C52" w:rsidRPr="009D4C8C">
        <w:t>S</w:t>
      </w:r>
      <w:r w:rsidR="001516F0">
        <w:t xml:space="preserve">ector </w:t>
      </w:r>
      <w:r w:rsidR="00536C52" w:rsidRPr="009D4C8C">
        <w:t>S</w:t>
      </w:r>
      <w:r w:rsidR="001516F0">
        <w:t xml:space="preserve">kills </w:t>
      </w:r>
      <w:r w:rsidR="00536C52" w:rsidRPr="009D4C8C">
        <w:t>P</w:t>
      </w:r>
      <w:r w:rsidR="001516F0">
        <w:t>lan</w:t>
      </w:r>
      <w:r w:rsidR="00536C52" w:rsidRPr="009D4C8C">
        <w:t>s</w:t>
      </w:r>
      <w:r w:rsidR="00693A88">
        <w:t xml:space="preserve"> </w:t>
      </w:r>
      <w:r w:rsidR="00753157" w:rsidRPr="009D4C8C">
        <w:t xml:space="preserve">and </w:t>
      </w:r>
      <w:r w:rsidR="00536C52" w:rsidRPr="009D4C8C">
        <w:t xml:space="preserve">annual </w:t>
      </w:r>
      <w:r w:rsidR="00121AEB">
        <w:t>reports</w:t>
      </w:r>
      <w:r w:rsidR="00DC0FE6">
        <w:t xml:space="preserve">. </w:t>
      </w:r>
      <w:r w:rsidR="00536C52" w:rsidRPr="009D4C8C">
        <w:t xml:space="preserve">Hard copies and additional web-based materials were sourced. </w:t>
      </w:r>
    </w:p>
    <w:p w14:paraId="6399BA90" w14:textId="77777777" w:rsidR="00AB0870" w:rsidRDefault="008447A3" w:rsidP="008C07CF">
      <w:pPr>
        <w:pStyle w:val="Heading2"/>
      </w:pPr>
      <w:bookmarkStart w:id="17" w:name="_Toc482985107"/>
      <w:bookmarkStart w:id="18" w:name="_Toc488525867"/>
      <w:r w:rsidRPr="001C2537">
        <w:t>Research Limitations</w:t>
      </w:r>
      <w:bookmarkEnd w:id="17"/>
      <w:bookmarkEnd w:id="18"/>
    </w:p>
    <w:p w14:paraId="1B971030" w14:textId="77777777" w:rsidR="001F2502" w:rsidRPr="001F2502" w:rsidRDefault="001F2502" w:rsidP="008C07CF">
      <w:r>
        <w:t>The following are some of the limitations encountered during the study:</w:t>
      </w:r>
    </w:p>
    <w:p w14:paraId="0D54CE2B" w14:textId="77777777" w:rsidR="00594CD6" w:rsidRDefault="00594CD6" w:rsidP="008C07CF">
      <w:pPr>
        <w:pStyle w:val="ListParagraph"/>
        <w:numPr>
          <w:ilvl w:val="0"/>
          <w:numId w:val="30"/>
        </w:numPr>
        <w:rPr>
          <w:rFonts w:cstheme="minorHAnsi"/>
        </w:rPr>
      </w:pPr>
      <w:r w:rsidRPr="001F2502">
        <w:t>The baseline study is being conducted few years after the NSDS III was developed and implementation has already occurred</w:t>
      </w:r>
      <w:r w:rsidR="00B93165">
        <w:t>.</w:t>
      </w:r>
      <w:r w:rsidRPr="000537CC">
        <w:t xml:space="preserve"> The obvious weakness, or risk, of such a retrospective baseline is that it is open to contestation and different interpretations. In </w:t>
      </w:r>
      <w:r w:rsidRPr="000537CC">
        <w:lastRenderedPageBreak/>
        <w:t>order to manage this risk attempts have been made to triangulate before stating a conclusion, though</w:t>
      </w:r>
      <w:r>
        <w:t xml:space="preserve"> this was not always achievable;</w:t>
      </w:r>
    </w:p>
    <w:p w14:paraId="0975FB1A" w14:textId="77777777" w:rsidR="00F117AA" w:rsidRPr="00F91E5F" w:rsidRDefault="00636F34" w:rsidP="008C07CF">
      <w:pPr>
        <w:pStyle w:val="ListParagraph"/>
        <w:numPr>
          <w:ilvl w:val="0"/>
          <w:numId w:val="30"/>
        </w:numPr>
      </w:pPr>
      <w:r w:rsidRPr="00F91E5F">
        <w:t xml:space="preserve">Inadequate </w:t>
      </w:r>
      <w:r w:rsidR="00F117AA" w:rsidRPr="00F91E5F">
        <w:t>data sources</w:t>
      </w:r>
      <w:r w:rsidR="00BC6911" w:rsidRPr="00F91E5F">
        <w:t xml:space="preserve">. </w:t>
      </w:r>
      <w:r w:rsidR="008C07CF">
        <w:t>There is no repository facility</w:t>
      </w:r>
      <w:r w:rsidR="008C07CF" w:rsidRPr="00F91E5F">
        <w:t xml:space="preserve"> within the post-school education and training sector. </w:t>
      </w:r>
      <w:r w:rsidR="00876D83" w:rsidRPr="00F91E5F">
        <w:t xml:space="preserve">Documents such as sector </w:t>
      </w:r>
      <w:r w:rsidR="00693A88" w:rsidRPr="00F91E5F">
        <w:t>a</w:t>
      </w:r>
      <w:r w:rsidR="00F117AA" w:rsidRPr="00F91E5F">
        <w:t xml:space="preserve">nnual </w:t>
      </w:r>
      <w:r w:rsidR="00693A88" w:rsidRPr="00F91E5F">
        <w:t>r</w:t>
      </w:r>
      <w:r w:rsidR="00F117AA" w:rsidRPr="00F91E5F">
        <w:t>eports</w:t>
      </w:r>
      <w:r w:rsidR="00876D83" w:rsidRPr="00F91E5F">
        <w:t>, Annual Training Reports</w:t>
      </w:r>
      <w:r w:rsidR="00693A88" w:rsidRPr="00F91E5F">
        <w:t xml:space="preserve"> (ATRs</w:t>
      </w:r>
      <w:r w:rsidR="005B4448" w:rsidRPr="00F91E5F">
        <w:t>),</w:t>
      </w:r>
      <w:r w:rsidR="00876D83" w:rsidRPr="00F91E5F">
        <w:t xml:space="preserve"> </w:t>
      </w:r>
      <w:r w:rsidR="00F117AA" w:rsidRPr="00F91E5F">
        <w:t>SSPs</w:t>
      </w:r>
      <w:r w:rsidR="00876D83" w:rsidRPr="00F91E5F">
        <w:t xml:space="preserve"> and other sector-specific data could not be obtained from most of the SETAs’ websites</w:t>
      </w:r>
      <w:r w:rsidR="00121AEB" w:rsidRPr="00F91E5F">
        <w:t>. Relevant units at the DHET could only provide data sources as they have it, which was significantly inadequate</w:t>
      </w:r>
      <w:r w:rsidR="008447A3" w:rsidRPr="00F91E5F">
        <w:t>;</w:t>
      </w:r>
      <w:r w:rsidR="00121AEB" w:rsidRPr="00F91E5F">
        <w:t xml:space="preserve"> </w:t>
      </w:r>
    </w:p>
    <w:p w14:paraId="0E2EBFC2" w14:textId="77777777" w:rsidR="00636F34" w:rsidRPr="00F91E5F" w:rsidRDefault="00876D83" w:rsidP="008C07CF">
      <w:pPr>
        <w:pStyle w:val="ListParagraph"/>
        <w:numPr>
          <w:ilvl w:val="0"/>
          <w:numId w:val="1"/>
        </w:numPr>
      </w:pPr>
      <w:r w:rsidRPr="00F91E5F">
        <w:t xml:space="preserve">Data </w:t>
      </w:r>
      <w:r w:rsidR="00121AEB" w:rsidRPr="00F91E5F">
        <w:t>from various sources (</w:t>
      </w:r>
      <w:r w:rsidR="005B4448" w:rsidRPr="00F91E5F">
        <w:t>SETAs)</w:t>
      </w:r>
      <w:r w:rsidR="00121AEB" w:rsidRPr="00F91E5F">
        <w:t xml:space="preserve"> </w:t>
      </w:r>
      <w:r w:rsidR="00F117AA" w:rsidRPr="00F91E5F">
        <w:t xml:space="preserve">was not </w:t>
      </w:r>
      <w:r w:rsidR="00BC6911" w:rsidRPr="00F91E5F">
        <w:t xml:space="preserve">seamlessly </w:t>
      </w:r>
      <w:r w:rsidRPr="00F91E5F">
        <w:t xml:space="preserve">recorded. Significantly, many of the reports were not structured and </w:t>
      </w:r>
      <w:r w:rsidR="00BC6911" w:rsidRPr="00F91E5F">
        <w:t>aligned to the NSDS framework</w:t>
      </w:r>
      <w:r w:rsidR="00150499" w:rsidRPr="00F91E5F">
        <w:t xml:space="preserve">, which is not surprising as </w:t>
      </w:r>
      <w:r w:rsidR="002B1590">
        <w:t>NSDS III</w:t>
      </w:r>
      <w:r w:rsidR="00150499" w:rsidRPr="00F91E5F">
        <w:t xml:space="preserve"> was structured </w:t>
      </w:r>
      <w:r w:rsidR="00EB04BF" w:rsidRPr="00F91E5F">
        <w:t>differently</w:t>
      </w:r>
      <w:r w:rsidR="00150499" w:rsidRPr="00F91E5F">
        <w:t xml:space="preserve"> to its </w:t>
      </w:r>
      <w:r w:rsidR="00EB04BF" w:rsidRPr="00F91E5F">
        <w:t>predecessors</w:t>
      </w:r>
      <w:r w:rsidR="00150499" w:rsidRPr="00F91E5F">
        <w:t xml:space="preserve"> and in 2010/2011 the reporting requirements were still in line with </w:t>
      </w:r>
      <w:r w:rsidR="002B1590">
        <w:t>NSDS II</w:t>
      </w:r>
      <w:r w:rsidR="00121AEB" w:rsidRPr="00F91E5F">
        <w:t>.</w:t>
      </w:r>
      <w:r w:rsidRPr="00F91E5F">
        <w:t xml:space="preserve"> This </w:t>
      </w:r>
      <w:r w:rsidR="0006292A" w:rsidRPr="00F91E5F">
        <w:t>mis</w:t>
      </w:r>
      <w:r w:rsidRPr="00F91E5F">
        <w:t xml:space="preserve">alignment </w:t>
      </w:r>
      <w:r w:rsidR="0006292A" w:rsidRPr="00F91E5F">
        <w:t xml:space="preserve">did not help the baseline study as similar data </w:t>
      </w:r>
      <w:r w:rsidR="009D4C8C" w:rsidRPr="00F91E5F">
        <w:t>may have</w:t>
      </w:r>
      <w:r w:rsidR="0006292A" w:rsidRPr="00F91E5F">
        <w:t xml:space="preserve"> </w:t>
      </w:r>
      <w:r w:rsidR="009D4C8C" w:rsidRPr="00F91E5F">
        <w:t>reflected different outputs and outcomes</w:t>
      </w:r>
      <w:r w:rsidR="0006292A" w:rsidRPr="00F91E5F">
        <w:t xml:space="preserve"> from one SETA to the other</w:t>
      </w:r>
      <w:r w:rsidR="0098022A" w:rsidRPr="00F91E5F">
        <w:t xml:space="preserve">; </w:t>
      </w:r>
    </w:p>
    <w:p w14:paraId="327F2881" w14:textId="77777777" w:rsidR="00BC6911" w:rsidRPr="00F91E5F" w:rsidRDefault="00BC6911" w:rsidP="008C07CF">
      <w:pPr>
        <w:pStyle w:val="ListParagraph"/>
        <w:numPr>
          <w:ilvl w:val="0"/>
          <w:numId w:val="1"/>
        </w:numPr>
      </w:pPr>
      <w:r w:rsidRPr="00F91E5F">
        <w:t xml:space="preserve">In </w:t>
      </w:r>
      <w:r w:rsidR="008447A3" w:rsidRPr="00F91E5F">
        <w:t>many</w:t>
      </w:r>
      <w:r w:rsidRPr="00F91E5F">
        <w:t xml:space="preserve"> cases, </w:t>
      </w:r>
      <w:r w:rsidR="00EA1878" w:rsidRPr="00F91E5F">
        <w:t xml:space="preserve">data was </w:t>
      </w:r>
      <w:r w:rsidRPr="00F91E5F">
        <w:t>not adequately narrated to clarify ‘</w:t>
      </w:r>
      <w:r w:rsidRPr="00F91E5F">
        <w:rPr>
          <w:i/>
        </w:rPr>
        <w:t xml:space="preserve">how’ </w:t>
      </w:r>
      <w:r w:rsidRPr="00F91E5F">
        <w:t>certain conclusions were arrived at</w:t>
      </w:r>
      <w:r w:rsidR="0006292A" w:rsidRPr="00F91E5F">
        <w:t xml:space="preserve">. This could be attributed to the reported lack of capacity within the system; </w:t>
      </w:r>
      <w:r w:rsidR="0098022A" w:rsidRPr="00F91E5F">
        <w:t>and</w:t>
      </w:r>
    </w:p>
    <w:p w14:paraId="5341AB16" w14:textId="77777777" w:rsidR="00225BD1" w:rsidRPr="009C7D65" w:rsidRDefault="009D4C8C" w:rsidP="008C07CF">
      <w:pPr>
        <w:pStyle w:val="ListParagraph"/>
        <w:numPr>
          <w:ilvl w:val="0"/>
          <w:numId w:val="1"/>
        </w:numPr>
      </w:pPr>
      <w:r w:rsidRPr="00F91E5F">
        <w:t xml:space="preserve">In some </w:t>
      </w:r>
      <w:r w:rsidR="00EB04BF" w:rsidRPr="00F91E5F">
        <w:t>cases,</w:t>
      </w:r>
      <w:r w:rsidRPr="00F91E5F">
        <w:t xml:space="preserve"> it was necessary to (in retrospect) interpret the available data and state more broadly than is ideal, what the “state of play” was in 2010, so as to at least establish some form of comparator baseline that can be used to measure progress during the period 2011-2016.</w:t>
      </w:r>
    </w:p>
    <w:p w14:paraId="194D5D1C" w14:textId="77777777" w:rsidR="009C7D65" w:rsidRPr="000537CC" w:rsidRDefault="009C7D65" w:rsidP="008C07CF">
      <w:pPr>
        <w:pStyle w:val="ListParagraph"/>
      </w:pPr>
    </w:p>
    <w:p w14:paraId="47F9C726" w14:textId="77777777" w:rsidR="0098022A" w:rsidRPr="000537CC" w:rsidRDefault="001F2502" w:rsidP="008C07CF">
      <w:pPr>
        <w:pStyle w:val="ListParagraph"/>
      </w:pPr>
      <w:r w:rsidRPr="000537CC">
        <w:t xml:space="preserve">There are elements of </w:t>
      </w:r>
      <w:r>
        <w:t>NSDS III</w:t>
      </w:r>
      <w:r w:rsidRPr="000537CC">
        <w:t xml:space="preserve"> baseline where a broad assessment has had to be made based on available evidence.</w:t>
      </w:r>
    </w:p>
    <w:p w14:paraId="5459DDB0" w14:textId="77777777" w:rsidR="00636F34" w:rsidRPr="00776E21" w:rsidRDefault="00C10124" w:rsidP="008C07CF">
      <w:pPr>
        <w:pStyle w:val="Heading1"/>
      </w:pPr>
      <w:bookmarkStart w:id="19" w:name="_Toc482985108"/>
      <w:bookmarkStart w:id="20" w:name="_Toc486285890"/>
      <w:bookmarkStart w:id="21" w:name="_Toc486899625"/>
      <w:bookmarkStart w:id="22" w:name="_Toc488525868"/>
      <w:r w:rsidRPr="00776E21">
        <w:t>PRESENTATION OF THE KEY FINDINGS</w:t>
      </w:r>
      <w:bookmarkEnd w:id="19"/>
      <w:bookmarkEnd w:id="20"/>
      <w:bookmarkEnd w:id="21"/>
      <w:bookmarkEnd w:id="22"/>
    </w:p>
    <w:p w14:paraId="169A7D76" w14:textId="77777777" w:rsidR="00C10124" w:rsidRPr="00776E21" w:rsidRDefault="00C10124" w:rsidP="008C07CF">
      <w:r w:rsidRPr="00776E21">
        <w:t>The findings are presented in</w:t>
      </w:r>
      <w:r w:rsidR="00931BC5" w:rsidRPr="00776E21">
        <w:t xml:space="preserve"> two</w:t>
      </w:r>
      <w:r w:rsidR="005D5B14" w:rsidRPr="00776E21">
        <w:t xml:space="preserve"> </w:t>
      </w:r>
      <w:r w:rsidR="004C3708" w:rsidRPr="00776E21">
        <w:t>parts</w:t>
      </w:r>
      <w:r w:rsidR="00AD2D0F" w:rsidRPr="00776E21">
        <w:t>:</w:t>
      </w:r>
    </w:p>
    <w:p w14:paraId="3FCBC726" w14:textId="77777777" w:rsidR="00EA1878" w:rsidRDefault="00203F16" w:rsidP="008C07CF">
      <w:pPr>
        <w:pStyle w:val="ListParagraph"/>
        <w:numPr>
          <w:ilvl w:val="0"/>
          <w:numId w:val="31"/>
        </w:numPr>
      </w:pPr>
      <w:r w:rsidRPr="00776E21">
        <w:rPr>
          <w:b/>
        </w:rPr>
        <w:t xml:space="preserve">Descriptive </w:t>
      </w:r>
      <w:r w:rsidR="00683550" w:rsidRPr="00776E21">
        <w:rPr>
          <w:b/>
        </w:rPr>
        <w:t>P</w:t>
      </w:r>
      <w:r w:rsidR="000A2604" w:rsidRPr="00776E21">
        <w:rPr>
          <w:b/>
        </w:rPr>
        <w:t>resentation</w:t>
      </w:r>
      <w:r w:rsidR="00683550" w:rsidRPr="00776E21">
        <w:rPr>
          <w:b/>
        </w:rPr>
        <w:t>:</w:t>
      </w:r>
      <w:r w:rsidR="00683550" w:rsidRPr="00776E21">
        <w:t xml:space="preserve"> </w:t>
      </w:r>
      <w:r w:rsidR="00B33415" w:rsidRPr="00776E21">
        <w:t xml:space="preserve">Data is presented </w:t>
      </w:r>
      <w:r w:rsidR="005427DC" w:rsidRPr="00776E21">
        <w:t>in accordance with the NSDS III O</w:t>
      </w:r>
      <w:r w:rsidR="009F53B9" w:rsidRPr="00776E21">
        <w:t>utcome</w:t>
      </w:r>
      <w:r w:rsidR="00296597" w:rsidRPr="00776E21">
        <w:t>s</w:t>
      </w:r>
      <w:r w:rsidR="009F53B9" w:rsidRPr="00776E21">
        <w:t xml:space="preserve"> and O</w:t>
      </w:r>
      <w:r w:rsidRPr="00776E21">
        <w:t xml:space="preserve">utputs. </w:t>
      </w:r>
      <w:r w:rsidR="00D163A7" w:rsidRPr="00B626EC">
        <w:t>The d</w:t>
      </w:r>
      <w:r w:rsidR="00C41EF6" w:rsidRPr="00B626EC">
        <w:t xml:space="preserve">ata is </w:t>
      </w:r>
      <w:r w:rsidR="00B33415" w:rsidRPr="00776E21">
        <w:t>linked to specific questions arising from problem statements and w</w:t>
      </w:r>
      <w:r w:rsidRPr="00776E21">
        <w:t xml:space="preserve">here the findings are implied, the </w:t>
      </w:r>
      <w:r w:rsidRPr="00776E21">
        <w:rPr>
          <w:i/>
        </w:rPr>
        <w:t>Theory of Change</w:t>
      </w:r>
      <w:r w:rsidRPr="00776E21">
        <w:t xml:space="preserve"> </w:t>
      </w:r>
      <w:r w:rsidR="000A2604" w:rsidRPr="00776E21">
        <w:t>is applied</w:t>
      </w:r>
      <w:r w:rsidRPr="00776E21">
        <w:t xml:space="preserve"> to provide a better understanding of the underlying assumptions relevant to the </w:t>
      </w:r>
      <w:r w:rsidR="00477CA2" w:rsidRPr="00776E21">
        <w:t xml:space="preserve">objectives of the </w:t>
      </w:r>
      <w:r w:rsidRPr="00776E21">
        <w:t xml:space="preserve">review.  </w:t>
      </w:r>
      <w:r w:rsidR="00B33415" w:rsidRPr="00776E21">
        <w:t xml:space="preserve">In </w:t>
      </w:r>
      <w:r w:rsidR="00D163A7" w:rsidRPr="00B626EC">
        <w:t xml:space="preserve">few </w:t>
      </w:r>
      <w:r w:rsidR="00B33415" w:rsidRPr="00776E21">
        <w:t>cases, q</w:t>
      </w:r>
      <w:r w:rsidR="002F150E" w:rsidRPr="00776E21">
        <w:t xml:space="preserve">uantitative data is </w:t>
      </w:r>
      <w:r w:rsidR="00B33415" w:rsidRPr="00776E21">
        <w:t xml:space="preserve">recalculated and </w:t>
      </w:r>
      <w:r w:rsidR="002F150E" w:rsidRPr="00776E21">
        <w:t xml:space="preserve">summarily presented in </w:t>
      </w:r>
      <w:r w:rsidR="00477CA2" w:rsidRPr="00776E21">
        <w:t>t</w:t>
      </w:r>
      <w:r w:rsidR="006F1C64" w:rsidRPr="00776E21">
        <w:t>ables</w:t>
      </w:r>
      <w:r w:rsidR="002F150E" w:rsidRPr="00776E21">
        <w:t xml:space="preserve"> and</w:t>
      </w:r>
      <w:r w:rsidR="00477CA2" w:rsidRPr="00776E21">
        <w:t xml:space="preserve"> </w:t>
      </w:r>
      <w:r w:rsidR="000A2604" w:rsidRPr="00776E21">
        <w:t xml:space="preserve">where necessary, </w:t>
      </w:r>
      <w:r w:rsidR="00477CA2" w:rsidRPr="00776E21">
        <w:t>explanatory notes</w:t>
      </w:r>
      <w:r w:rsidR="000A2604" w:rsidRPr="00776E21">
        <w:t xml:space="preserve"> are provided</w:t>
      </w:r>
      <w:r w:rsidR="009F53B9" w:rsidRPr="00776E21">
        <w:t>.</w:t>
      </w:r>
      <w:r w:rsidR="00EA1878" w:rsidRPr="00B626EC">
        <w:t xml:space="preserve"> </w:t>
      </w:r>
      <w:r w:rsidR="00C22E84" w:rsidRPr="00B626EC">
        <w:t xml:space="preserve">Due to inconsistent reporting on quantitative data </w:t>
      </w:r>
      <w:r w:rsidR="003E606D" w:rsidRPr="00B626EC">
        <w:t>a</w:t>
      </w:r>
      <w:r w:rsidR="0098022A" w:rsidRPr="00B626EC">
        <w:t>cross the various sources, ex</w:t>
      </w:r>
      <w:r w:rsidR="00693A88" w:rsidRPr="00B626EC">
        <w:t>amples ar</w:t>
      </w:r>
      <w:r w:rsidR="0098022A" w:rsidRPr="00B626EC">
        <w:t>e</w:t>
      </w:r>
      <w:r w:rsidR="00693A88" w:rsidRPr="00B626EC">
        <w:t xml:space="preserve"> used to illustrate a </w:t>
      </w:r>
      <w:r w:rsidR="003E606D" w:rsidRPr="00B626EC">
        <w:t>scenario</w:t>
      </w:r>
      <w:r w:rsidR="00693A88" w:rsidRPr="00B626EC">
        <w:t xml:space="preserve">, and </w:t>
      </w:r>
      <w:r w:rsidR="003E606D" w:rsidRPr="00B626EC">
        <w:t>inherent limitations</w:t>
      </w:r>
      <w:r w:rsidR="00693A88" w:rsidRPr="00B626EC">
        <w:t xml:space="preserve"> to this option is acknowledged under the section on “Purpose of the Baseline Study” above</w:t>
      </w:r>
      <w:r w:rsidR="003E606D" w:rsidRPr="00B626EC">
        <w:t>.</w:t>
      </w:r>
      <w:r w:rsidR="00B626EC">
        <w:t xml:space="preserve"> </w:t>
      </w:r>
      <w:r w:rsidR="00EA1878" w:rsidRPr="00B626EC">
        <w:t>Each Outcome has a descriptive introduction</w:t>
      </w:r>
      <w:r w:rsidR="00D163A7" w:rsidRPr="00B626EC">
        <w:t xml:space="preserve"> and </w:t>
      </w:r>
      <w:r w:rsidR="00EA1878" w:rsidRPr="00B626EC">
        <w:t xml:space="preserve">a summary. </w:t>
      </w:r>
    </w:p>
    <w:p w14:paraId="07A3C7E3" w14:textId="77777777" w:rsidR="00B626EC" w:rsidRPr="00B626EC" w:rsidRDefault="00B626EC" w:rsidP="008C07CF">
      <w:pPr>
        <w:pStyle w:val="ListParagraph"/>
      </w:pPr>
    </w:p>
    <w:p w14:paraId="31380317" w14:textId="58AE898B" w:rsidR="002310A3" w:rsidRPr="000537CC" w:rsidRDefault="00EA1878" w:rsidP="008C07CF">
      <w:pPr>
        <w:pStyle w:val="ListParagraph"/>
        <w:numPr>
          <w:ilvl w:val="0"/>
          <w:numId w:val="31"/>
        </w:numPr>
      </w:pPr>
      <w:r w:rsidRPr="00776E21">
        <w:rPr>
          <w:b/>
        </w:rPr>
        <w:lastRenderedPageBreak/>
        <w:t xml:space="preserve">Summary of Findings: </w:t>
      </w:r>
      <w:r w:rsidR="00693A88" w:rsidRPr="00AD3372">
        <w:t>This part</w:t>
      </w:r>
      <w:r w:rsidRPr="00776E21">
        <w:t xml:space="preserve"> </w:t>
      </w:r>
      <w:r w:rsidRPr="00AD3372">
        <w:t xml:space="preserve">represents a conclusion, and </w:t>
      </w:r>
      <w:r w:rsidR="00693A88" w:rsidRPr="00AD3372">
        <w:t xml:space="preserve">is </w:t>
      </w:r>
      <w:r w:rsidRPr="00AD3372">
        <w:t xml:space="preserve">presented </w:t>
      </w:r>
      <w:r w:rsidR="007724FD">
        <w:t>to reflect the various</w:t>
      </w:r>
      <w:r w:rsidR="0098022A" w:rsidRPr="00AD3372">
        <w:t xml:space="preserve"> </w:t>
      </w:r>
      <w:r w:rsidRPr="00AD3372">
        <w:t>thematic areas</w:t>
      </w:r>
      <w:r w:rsidR="00693A88" w:rsidRPr="00AD3372">
        <w:t xml:space="preserve"> that </w:t>
      </w:r>
      <w:r w:rsidR="0098022A" w:rsidRPr="00AD3372">
        <w:t xml:space="preserve">could be understood to </w:t>
      </w:r>
      <w:r w:rsidR="00D163A7">
        <w:t xml:space="preserve">refer to </w:t>
      </w:r>
      <w:r w:rsidR="0098022A" w:rsidRPr="00AD3372">
        <w:t xml:space="preserve">the same or similar </w:t>
      </w:r>
      <w:r w:rsidR="00D163A7">
        <w:t>topical matter</w:t>
      </w:r>
      <w:r w:rsidRPr="00AD3372">
        <w:t xml:space="preserve">, while </w:t>
      </w:r>
      <w:r w:rsidR="0098022A" w:rsidRPr="00AD3372">
        <w:t>lifting specific and substantiv</w:t>
      </w:r>
      <w:r w:rsidR="00BB2BC6" w:rsidRPr="00AD3372">
        <w:t>e areas identified as requiring attention</w:t>
      </w:r>
      <w:r w:rsidR="00B626EC">
        <w:t xml:space="preserve"> across all Outcomes and Outputs</w:t>
      </w:r>
      <w:r w:rsidR="00BB2BC6" w:rsidRPr="00AD3372">
        <w:t xml:space="preserve">. </w:t>
      </w:r>
      <w:r w:rsidR="00B626EC">
        <w:t>For example, O</w:t>
      </w:r>
      <w:r w:rsidR="009C18B6" w:rsidRPr="00AD3372">
        <w:t xml:space="preserve">utcomes that deal with </w:t>
      </w:r>
      <w:r w:rsidR="00D163A7">
        <w:t>‘</w:t>
      </w:r>
      <w:r w:rsidR="009C18B6" w:rsidRPr="00AD3372">
        <w:t>partnerships</w:t>
      </w:r>
      <w:r w:rsidR="00D163A7">
        <w:t>’</w:t>
      </w:r>
      <w:r w:rsidR="009C18B6" w:rsidRPr="00AD3372">
        <w:t xml:space="preserve"> are aligned and summarily reflected upon as an area that require attention.</w:t>
      </w:r>
    </w:p>
    <w:p w14:paraId="4CDB68F7" w14:textId="77777777" w:rsidR="009C7D65" w:rsidRDefault="009C7D65" w:rsidP="008C07CF">
      <w:pPr>
        <w:pStyle w:val="ListParagraph"/>
      </w:pPr>
    </w:p>
    <w:p w14:paraId="18569CE1" w14:textId="77777777" w:rsidR="00240FB4" w:rsidRPr="00776E21" w:rsidRDefault="00240FB4" w:rsidP="008C07CF">
      <w:pPr>
        <w:pStyle w:val="Heading2"/>
      </w:pPr>
      <w:bookmarkStart w:id="23" w:name="_Toc488525869"/>
      <w:r w:rsidRPr="00776E21">
        <w:t xml:space="preserve">Goal 1: Establishing an </w:t>
      </w:r>
      <w:r w:rsidR="009C7D65">
        <w:t>I</w:t>
      </w:r>
      <w:r w:rsidRPr="00776E21">
        <w:t xml:space="preserve">nstitutional </w:t>
      </w:r>
      <w:r w:rsidR="009C7D65">
        <w:t>M</w:t>
      </w:r>
      <w:r w:rsidRPr="00776E21">
        <w:t xml:space="preserve">echanism for </w:t>
      </w:r>
      <w:r w:rsidR="009C7D65">
        <w:t>S</w:t>
      </w:r>
      <w:r w:rsidRPr="00776E21">
        <w:t xml:space="preserve">kills </w:t>
      </w:r>
      <w:r w:rsidR="009C7D65">
        <w:t>P</w:t>
      </w:r>
      <w:r w:rsidRPr="00776E21">
        <w:t>lanning</w:t>
      </w:r>
      <w:bookmarkEnd w:id="23"/>
    </w:p>
    <w:p w14:paraId="4DCD32B6" w14:textId="77777777" w:rsidR="00AF4190" w:rsidRPr="00776E21" w:rsidRDefault="009662C4" w:rsidP="008C07CF">
      <w:r w:rsidRPr="0091620C">
        <w:rPr>
          <w:b/>
        </w:rPr>
        <w:t xml:space="preserve">Outcome </w:t>
      </w:r>
      <w:r w:rsidR="00B70762" w:rsidRPr="0091620C">
        <w:rPr>
          <w:b/>
        </w:rPr>
        <w:t>4.1.1</w:t>
      </w:r>
      <w:r w:rsidR="00960C1D" w:rsidRPr="0091620C">
        <w:rPr>
          <w:rStyle w:val="Strong"/>
          <w:rFonts w:cstheme="minorHAnsi"/>
          <w:b w:val="0"/>
          <w:i/>
          <w:sz w:val="22"/>
        </w:rPr>
        <w:t>:</w:t>
      </w:r>
      <w:r w:rsidR="00960C1D" w:rsidRPr="00776E21">
        <w:rPr>
          <w:rStyle w:val="Strong"/>
          <w:rFonts w:cstheme="minorHAnsi"/>
          <w:i/>
          <w:sz w:val="22"/>
        </w:rPr>
        <w:t xml:space="preserve"> </w:t>
      </w:r>
      <w:r w:rsidR="00454BB7" w:rsidRPr="00776E21">
        <w:rPr>
          <w:rStyle w:val="Strong"/>
          <w:rFonts w:cstheme="minorHAnsi"/>
          <w:i/>
          <w:sz w:val="22"/>
        </w:rPr>
        <w:t>National need in relation to skills development is researched, documented and communicated to enable effective planning across all economic sectors</w:t>
      </w:r>
      <w:r w:rsidR="00D670BE" w:rsidRPr="00776E21">
        <w:rPr>
          <w:rStyle w:val="Strong"/>
          <w:rFonts w:cstheme="minorHAnsi"/>
          <w:i/>
          <w:sz w:val="22"/>
        </w:rPr>
        <w:t>.</w:t>
      </w:r>
    </w:p>
    <w:p w14:paraId="541F5B30" w14:textId="77777777" w:rsidR="00240FB4" w:rsidRPr="00240FB4" w:rsidRDefault="00776E21" w:rsidP="008C07CF">
      <w:pPr>
        <w:rPr>
          <w:lang w:val="en-ZA"/>
        </w:rPr>
      </w:pPr>
      <w:r>
        <w:t xml:space="preserve">The </w:t>
      </w:r>
      <w:r w:rsidR="009052E4" w:rsidRPr="00914E7E">
        <w:t>Joint Initiative on Priority Skills Acquisition (</w:t>
      </w:r>
      <w:r w:rsidR="00240FB4" w:rsidRPr="00914E7E">
        <w:rPr>
          <w:lang w:val="en-ZA"/>
        </w:rPr>
        <w:t>JIPSA</w:t>
      </w:r>
      <w:r w:rsidR="009052E4" w:rsidRPr="00914E7E">
        <w:rPr>
          <w:lang w:val="en-ZA"/>
        </w:rPr>
        <w:t>)</w:t>
      </w:r>
      <w:r w:rsidR="00240FB4" w:rsidRPr="00240FB4">
        <w:rPr>
          <w:lang w:val="en-ZA"/>
        </w:rPr>
        <w:t xml:space="preserve"> recognised in its close-out report that the skill supply environment was fragmented at both national and sector levels. Significantly, it recognised the misalignment between the </w:t>
      </w:r>
      <w:r w:rsidR="00F50007">
        <w:rPr>
          <w:lang w:val="en-ZA"/>
        </w:rPr>
        <w:t>‘</w:t>
      </w:r>
      <w:r w:rsidR="00240FB4" w:rsidRPr="00240FB4">
        <w:rPr>
          <w:lang w:val="en-ZA"/>
        </w:rPr>
        <w:t>producers</w:t>
      </w:r>
      <w:r w:rsidR="00F50007">
        <w:rPr>
          <w:lang w:val="en-ZA"/>
        </w:rPr>
        <w:t>’ (supply side)</w:t>
      </w:r>
      <w:r w:rsidR="00240FB4" w:rsidRPr="00240FB4">
        <w:rPr>
          <w:lang w:val="en-ZA"/>
        </w:rPr>
        <w:t xml:space="preserve"> and users</w:t>
      </w:r>
      <w:r w:rsidR="00F50007">
        <w:rPr>
          <w:lang w:val="en-ZA"/>
        </w:rPr>
        <w:t xml:space="preserve"> (demand side)</w:t>
      </w:r>
      <w:r w:rsidR="00240FB4" w:rsidRPr="00240FB4">
        <w:rPr>
          <w:lang w:val="en-ZA"/>
        </w:rPr>
        <w:t xml:space="preserve"> of skills (Presidency, 2010). Serious questions were being raised as to whether plans in each sector were based on a sufficient level of understanding of the problems being addressed or the identification of appropriate skills interventions. There was also concern tha</w:t>
      </w:r>
      <w:r w:rsidR="00F50007">
        <w:rPr>
          <w:lang w:val="en-ZA"/>
        </w:rPr>
        <w:t>t there was no central collation</w:t>
      </w:r>
      <w:r w:rsidR="00240FB4" w:rsidRPr="00240FB4">
        <w:rPr>
          <w:lang w:val="en-ZA"/>
        </w:rPr>
        <w:t xml:space="preserve"> of data </w:t>
      </w:r>
      <w:r w:rsidR="00F50007">
        <w:rPr>
          <w:lang w:val="en-ZA"/>
        </w:rPr>
        <w:t xml:space="preserve">and </w:t>
      </w:r>
      <w:r w:rsidR="00240FB4" w:rsidRPr="00240FB4">
        <w:rPr>
          <w:lang w:val="en-ZA"/>
        </w:rPr>
        <w:t xml:space="preserve">the credibility of SETA-based research was called into question. </w:t>
      </w:r>
    </w:p>
    <w:p w14:paraId="51FA2FEE" w14:textId="77777777" w:rsidR="001C2537" w:rsidRDefault="00240FB4" w:rsidP="008C07CF">
      <w:pPr>
        <w:rPr>
          <w:rStyle w:val="Strong"/>
          <w:rFonts w:cstheme="minorHAnsi"/>
          <w:b w:val="0"/>
          <w:sz w:val="22"/>
          <w:lang w:val="en-ZA"/>
        </w:rPr>
      </w:pPr>
      <w:r w:rsidRPr="00240FB4">
        <w:rPr>
          <w:lang w:val="en-ZA"/>
        </w:rPr>
        <w:t xml:space="preserve">One example of this was the process to develop a “critical skills” list for the Department of Home </w:t>
      </w:r>
      <w:r w:rsidR="005B4448" w:rsidRPr="00240FB4">
        <w:rPr>
          <w:lang w:val="en-ZA"/>
        </w:rPr>
        <w:t xml:space="preserve">Affairs </w:t>
      </w:r>
      <w:r w:rsidR="005B4448">
        <w:rPr>
          <w:lang w:val="en-ZA"/>
        </w:rPr>
        <w:t>(</w:t>
      </w:r>
      <w:r w:rsidR="009C18B6">
        <w:rPr>
          <w:lang w:val="en-ZA"/>
        </w:rPr>
        <w:t xml:space="preserve">DHA) </w:t>
      </w:r>
      <w:r w:rsidRPr="00240FB4">
        <w:rPr>
          <w:lang w:val="en-ZA"/>
        </w:rPr>
        <w:t xml:space="preserve">to base the “critical skills visa” decisions on. There was some urgency to develop the list as </w:t>
      </w:r>
      <w:proofErr w:type="spellStart"/>
      <w:r w:rsidRPr="00240FB4">
        <w:rPr>
          <w:lang w:val="en-ZA"/>
        </w:rPr>
        <w:t>DoL</w:t>
      </w:r>
      <w:proofErr w:type="spellEnd"/>
      <w:r w:rsidRPr="00240FB4">
        <w:rPr>
          <w:lang w:val="en-ZA"/>
        </w:rPr>
        <w:t xml:space="preserve"> had last published on</w:t>
      </w:r>
      <w:r w:rsidR="00776E21">
        <w:rPr>
          <w:lang w:val="en-ZA"/>
        </w:rPr>
        <w:t>e</w:t>
      </w:r>
      <w:r w:rsidRPr="00240FB4">
        <w:rPr>
          <w:lang w:val="en-ZA"/>
        </w:rPr>
        <w:t xml:space="preserve"> in 2008 and that list was regarded as problematic in relation to </w:t>
      </w:r>
      <w:r w:rsidR="00F50007">
        <w:rPr>
          <w:lang w:val="en-ZA"/>
        </w:rPr>
        <w:t>its</w:t>
      </w:r>
      <w:r w:rsidRPr="00240FB4">
        <w:rPr>
          <w:lang w:val="en-ZA"/>
        </w:rPr>
        <w:t xml:space="preserve"> use in issuing visas for foreign workers. When all the SETA priority occupations in demand were </w:t>
      </w:r>
      <w:r w:rsidR="005B4448" w:rsidRPr="00240FB4">
        <w:rPr>
          <w:lang w:val="en-ZA"/>
        </w:rPr>
        <w:t>listed,</w:t>
      </w:r>
      <w:r w:rsidRPr="00240FB4">
        <w:rPr>
          <w:lang w:val="en-ZA"/>
        </w:rPr>
        <w:t xml:space="preserve"> many were not viewed as being in short supply at all. In some </w:t>
      </w:r>
      <w:r w:rsidR="005B4448" w:rsidRPr="00240FB4">
        <w:rPr>
          <w:lang w:val="en-ZA"/>
        </w:rPr>
        <w:t>sectors,</w:t>
      </w:r>
      <w:r w:rsidRPr="00240FB4">
        <w:rPr>
          <w:lang w:val="en-ZA"/>
        </w:rPr>
        <w:t xml:space="preserve"> obvious (common sense) skills gaps were completely absent from SETA lists. Given that the research into supply and demand mismatches were critical to education planning both for the SETAs </w:t>
      </w:r>
      <w:r w:rsidR="005B4448" w:rsidRPr="00240FB4">
        <w:rPr>
          <w:lang w:val="en-ZA"/>
        </w:rPr>
        <w:t>and</w:t>
      </w:r>
      <w:r w:rsidRPr="00240FB4">
        <w:rPr>
          <w:lang w:val="en-ZA"/>
        </w:rPr>
        <w:t xml:space="preserve"> universities and colleges, the understanding within government and amongst stakeholders</w:t>
      </w:r>
      <w:r w:rsidR="00776E21">
        <w:rPr>
          <w:lang w:val="en-ZA"/>
        </w:rPr>
        <w:t xml:space="preserve"> - </w:t>
      </w:r>
      <w:r w:rsidRPr="00240FB4">
        <w:rPr>
          <w:lang w:val="en-ZA"/>
        </w:rPr>
        <w:t>particularly in the DHET, D</w:t>
      </w:r>
      <w:r w:rsidR="0098022A">
        <w:rPr>
          <w:lang w:val="en-ZA"/>
        </w:rPr>
        <w:t>epartments of Trade and Industry (DTI)</w:t>
      </w:r>
      <w:r w:rsidRPr="00240FB4">
        <w:rPr>
          <w:lang w:val="en-ZA"/>
        </w:rPr>
        <w:t xml:space="preserve"> and </w:t>
      </w:r>
      <w:r w:rsidR="0098022A">
        <w:rPr>
          <w:lang w:val="en-ZA"/>
        </w:rPr>
        <w:t>Economic Development (</w:t>
      </w:r>
      <w:r w:rsidR="005B4448" w:rsidRPr="00240FB4">
        <w:rPr>
          <w:lang w:val="en-ZA"/>
        </w:rPr>
        <w:t xml:space="preserve">EDD) </w:t>
      </w:r>
      <w:r w:rsidR="00776E21">
        <w:rPr>
          <w:lang w:val="en-ZA"/>
        </w:rPr>
        <w:t xml:space="preserve">- </w:t>
      </w:r>
      <w:r w:rsidR="005B4448" w:rsidRPr="00240FB4">
        <w:rPr>
          <w:lang w:val="en-ZA"/>
        </w:rPr>
        <w:t>was</w:t>
      </w:r>
      <w:r w:rsidRPr="00240FB4">
        <w:rPr>
          <w:lang w:val="en-ZA"/>
        </w:rPr>
        <w:t xml:space="preserve"> that the process of both sector-based research and nation</w:t>
      </w:r>
      <w:r w:rsidR="0098022A">
        <w:rPr>
          <w:lang w:val="en-ZA"/>
        </w:rPr>
        <w:t>al coordination and analysis of</w:t>
      </w:r>
      <w:r w:rsidRPr="00240FB4">
        <w:rPr>
          <w:lang w:val="en-ZA"/>
        </w:rPr>
        <w:t xml:space="preserve"> sector-based research were weak and needed attention. The following sets out the situation in relation to each </w:t>
      </w:r>
      <w:r w:rsidR="008E2AD0">
        <w:rPr>
          <w:lang w:val="en-ZA"/>
        </w:rPr>
        <w:t>O</w:t>
      </w:r>
      <w:r w:rsidRPr="00240FB4">
        <w:rPr>
          <w:lang w:val="en-ZA"/>
        </w:rPr>
        <w:t>utput li</w:t>
      </w:r>
      <w:r w:rsidR="001457B4">
        <w:rPr>
          <w:lang w:val="en-ZA"/>
        </w:rPr>
        <w:t>nked to the achievement of the O</w:t>
      </w:r>
      <w:r w:rsidRPr="00240FB4">
        <w:rPr>
          <w:lang w:val="en-ZA"/>
        </w:rPr>
        <w:t xml:space="preserve">utcome. </w:t>
      </w:r>
      <w:r w:rsidR="00743F20" w:rsidRPr="00776E21">
        <w:rPr>
          <w:rStyle w:val="Strong"/>
          <w:rFonts w:cstheme="minorHAnsi"/>
          <w:b w:val="0"/>
          <w:sz w:val="22"/>
          <w:lang w:val="en-ZA"/>
        </w:rPr>
        <w:t xml:space="preserve"> </w:t>
      </w:r>
    </w:p>
    <w:tbl>
      <w:tblPr>
        <w:tblStyle w:val="TableGrid"/>
        <w:tblW w:w="0" w:type="auto"/>
        <w:tblLook w:val="04A0" w:firstRow="1" w:lastRow="0" w:firstColumn="1" w:lastColumn="0" w:noHBand="0" w:noVBand="1"/>
      </w:tblPr>
      <w:tblGrid>
        <w:gridCol w:w="2022"/>
        <w:gridCol w:w="7328"/>
      </w:tblGrid>
      <w:tr w:rsidR="00AE2DE5" w14:paraId="54102405" w14:textId="77777777" w:rsidTr="001C2537">
        <w:tc>
          <w:tcPr>
            <w:tcW w:w="9350" w:type="dxa"/>
            <w:gridSpan w:val="2"/>
            <w:shd w:val="clear" w:color="auto" w:fill="943634" w:themeFill="accent2" w:themeFillShade="BF"/>
          </w:tcPr>
          <w:p w14:paraId="060DA218" w14:textId="77777777" w:rsidR="00AE2DE5" w:rsidRDefault="00AE2DE5" w:rsidP="008C07CF">
            <w:pPr>
              <w:rPr>
                <w:rStyle w:val="Strong"/>
                <w:rFonts w:cstheme="minorHAnsi"/>
                <w:b w:val="0"/>
                <w:sz w:val="22"/>
                <w:lang w:val="en-ZA"/>
              </w:rPr>
            </w:pPr>
            <w:r w:rsidRPr="00776E21">
              <w:t xml:space="preserve">Output 4.1.1.1: </w:t>
            </w:r>
            <w:r w:rsidRPr="00776E21">
              <w:rPr>
                <w:lang w:val="en-ZA"/>
              </w:rPr>
              <w:t>Capacity is established within the Department of Higher Education and Training to coordinate research and skills planning.</w:t>
            </w:r>
          </w:p>
        </w:tc>
      </w:tr>
      <w:tr w:rsidR="001C2537" w:rsidRPr="00F47C02" w14:paraId="0BE5F4B3" w14:textId="77777777" w:rsidTr="001C2537">
        <w:tc>
          <w:tcPr>
            <w:tcW w:w="2022" w:type="dxa"/>
            <w:shd w:val="clear" w:color="auto" w:fill="D9D9D9" w:themeFill="background1" w:themeFillShade="D9"/>
          </w:tcPr>
          <w:p w14:paraId="0A42C197" w14:textId="77777777" w:rsidR="001C2537" w:rsidRPr="00776E21" w:rsidRDefault="001C2537" w:rsidP="008C07CF">
            <w:r w:rsidRPr="00776E21">
              <w:t xml:space="preserve">What research capacity was in place in DHET? </w:t>
            </w:r>
          </w:p>
        </w:tc>
        <w:tc>
          <w:tcPr>
            <w:tcW w:w="7328" w:type="dxa"/>
            <w:shd w:val="clear" w:color="auto" w:fill="auto"/>
          </w:tcPr>
          <w:p w14:paraId="3E09754E" w14:textId="0FCB502E" w:rsidR="008D55A7" w:rsidRPr="008D55A7" w:rsidRDefault="001C2537" w:rsidP="0091620C">
            <w:pPr>
              <w:rPr>
                <w:sz w:val="21"/>
              </w:rPr>
            </w:pPr>
            <w:r>
              <w:t>T</w:t>
            </w:r>
            <w:r w:rsidRPr="00821E70">
              <w:t xml:space="preserve">he DHET did not have a dedicated Directorate for research and skills planning. </w:t>
            </w:r>
            <w:r>
              <w:t xml:space="preserve">Research capacity existed in the Planning Branch of the Department but the focus was on education financial planning rather than </w:t>
            </w:r>
            <w:proofErr w:type="spellStart"/>
            <w:r>
              <w:t>labour</w:t>
            </w:r>
            <w:proofErr w:type="spellEnd"/>
            <w:r>
              <w:t xml:space="preserve"> market supply and demand. T</w:t>
            </w:r>
            <w:r w:rsidRPr="00821E70">
              <w:t xml:space="preserve">he Organogram of the Department shows that the Chief Directorate: SETA Coordination, which fell under Skills Development Branch had three Directorates namely; </w:t>
            </w:r>
            <w:r w:rsidRPr="00821E70">
              <w:lastRenderedPageBreak/>
              <w:t xml:space="preserve">INDLELA, SETA Performance Management and SETA Support and </w:t>
            </w:r>
            <w:proofErr w:type="spellStart"/>
            <w:r w:rsidRPr="00821E70">
              <w:t>Learnerships</w:t>
            </w:r>
            <w:proofErr w:type="spellEnd"/>
            <w:r w:rsidRPr="00821E70">
              <w:t>, all of which were filled</w:t>
            </w:r>
            <w:r>
              <w:t xml:space="preserve">. (DHET Annual Report, 2010/11). However, no specific research specialist was in the employ of the Department and in particular no </w:t>
            </w:r>
            <w:proofErr w:type="spellStart"/>
            <w:r>
              <w:t>labour</w:t>
            </w:r>
            <w:proofErr w:type="spellEnd"/>
            <w:r>
              <w:t xml:space="preserve"> market</w:t>
            </w:r>
            <w:r w:rsidR="00594CD6">
              <w:t>,</w:t>
            </w:r>
            <w:r>
              <w:t xml:space="preserve"> or supply and demand</w:t>
            </w:r>
            <w:r w:rsidR="00594CD6">
              <w:t>,</w:t>
            </w:r>
            <w:r>
              <w:t xml:space="preserve"> specialist.</w:t>
            </w:r>
            <w:r w:rsidR="001F2502">
              <w:t xml:space="preserve"> </w:t>
            </w:r>
            <w:r w:rsidR="001F2502" w:rsidRPr="005B69BA">
              <w:rPr>
                <w:sz w:val="21"/>
              </w:rPr>
              <w:t xml:space="preserve">Had </w:t>
            </w:r>
            <w:r w:rsidR="001F2502" w:rsidRPr="005B69BA">
              <w:t xml:space="preserve">such a specialist been in place, the role of this person should have been (1) to provide guidance to improve sector skills research; and (2) co-ordinate national skills research, as example skills </w:t>
            </w:r>
            <w:r w:rsidR="007D413C" w:rsidRPr="005B69BA">
              <w:t xml:space="preserve">for the SKA, </w:t>
            </w:r>
            <w:r w:rsidR="0091620C">
              <w:t xml:space="preserve">the Green and Maritime economies, </w:t>
            </w:r>
            <w:r w:rsidR="008C07CF" w:rsidRPr="005B69BA">
              <w:t>etc.</w:t>
            </w:r>
            <w:r w:rsidR="00594CD6">
              <w:t>, and (3) to facilitate the coordination of research on matters that were cross-cutting or which were issues of importance in more than one sector.</w:t>
            </w:r>
            <w:r w:rsidRPr="005B69BA">
              <w:rPr>
                <w:sz w:val="21"/>
              </w:rPr>
              <w:t xml:space="preserve">  </w:t>
            </w:r>
          </w:p>
        </w:tc>
      </w:tr>
    </w:tbl>
    <w:p w14:paraId="0FE935D2" w14:textId="77777777" w:rsidR="008D2169" w:rsidRDefault="008D2169" w:rsidP="008C07CF"/>
    <w:tbl>
      <w:tblPr>
        <w:tblStyle w:val="TableGrid"/>
        <w:tblW w:w="0" w:type="auto"/>
        <w:tblLook w:val="04A0" w:firstRow="1" w:lastRow="0" w:firstColumn="1" w:lastColumn="0" w:noHBand="0" w:noVBand="1"/>
      </w:tblPr>
      <w:tblGrid>
        <w:gridCol w:w="2022"/>
        <w:gridCol w:w="7328"/>
      </w:tblGrid>
      <w:tr w:rsidR="008D55A7" w:rsidRPr="00F47C02" w14:paraId="3F0F9EA6" w14:textId="77777777" w:rsidTr="00813248">
        <w:trPr>
          <w:tblHeader/>
        </w:trPr>
        <w:tc>
          <w:tcPr>
            <w:tcW w:w="9350" w:type="dxa"/>
            <w:gridSpan w:val="2"/>
            <w:shd w:val="clear" w:color="auto" w:fill="943634" w:themeFill="accent2" w:themeFillShade="BF"/>
          </w:tcPr>
          <w:p w14:paraId="00C27503" w14:textId="77777777" w:rsidR="008D55A7" w:rsidRPr="00BA479B" w:rsidRDefault="008D55A7" w:rsidP="008C07CF">
            <w:r w:rsidRPr="00BA479B">
              <w:t>Output 4.1.1.2: Sector Skills Plans are professionally researched, provide a sound analysis of the sector and articulate an agreed sector strategy to address skills needs.</w:t>
            </w:r>
          </w:p>
        </w:tc>
      </w:tr>
      <w:tr w:rsidR="008D55A7" w:rsidRPr="00F47C02" w14:paraId="0E789F97" w14:textId="77777777" w:rsidTr="00813248">
        <w:tc>
          <w:tcPr>
            <w:tcW w:w="2022" w:type="dxa"/>
            <w:shd w:val="clear" w:color="auto" w:fill="D9D9D9" w:themeFill="background1" w:themeFillShade="D9"/>
          </w:tcPr>
          <w:p w14:paraId="554626BD" w14:textId="77777777" w:rsidR="008D55A7" w:rsidRPr="00776E21" w:rsidRDefault="008D55A7" w:rsidP="008C07CF">
            <w:r w:rsidRPr="00BA479B">
              <w:t>What was the quality of SSPs in 2010/11?</w:t>
            </w:r>
          </w:p>
        </w:tc>
        <w:tc>
          <w:tcPr>
            <w:tcW w:w="7328" w:type="dxa"/>
            <w:shd w:val="clear" w:color="auto" w:fill="auto"/>
          </w:tcPr>
          <w:p w14:paraId="7F48FD31" w14:textId="77777777" w:rsidR="008D55A7" w:rsidRDefault="008D55A7" w:rsidP="008C07CF">
            <w:r w:rsidRPr="00BA479B">
              <w:t xml:space="preserve">SETAs were reportedly producing weak SSPs. The </w:t>
            </w:r>
            <w:r>
              <w:t xml:space="preserve">HRD </w:t>
            </w:r>
            <w:r w:rsidRPr="00BA479B">
              <w:t>Expert Panel appointed in 2010 by DHET to review the SSPs observed that “most SSPs seemed to exist in total isolation of the SETA” and con</w:t>
            </w:r>
            <w:r>
              <w:t>c</w:t>
            </w:r>
            <w:r w:rsidRPr="00BA479B">
              <w:t xml:space="preserve">luded that </w:t>
            </w:r>
            <w:r>
              <w:t>in terms of</w:t>
            </w:r>
            <w:r w:rsidRPr="00BA479B">
              <w:t xml:space="preserve"> quality and professionalism </w:t>
            </w:r>
            <w:r>
              <w:t xml:space="preserve">the picture </w:t>
            </w:r>
            <w:r w:rsidRPr="00BA479B">
              <w:t xml:space="preserve">was </w:t>
            </w:r>
            <w:r>
              <w:t xml:space="preserve">of </w:t>
            </w:r>
            <w:r w:rsidRPr="00BA479B">
              <w:t>“average</w:t>
            </w:r>
            <w:r>
              <w:t>-</w:t>
            </w:r>
            <w:r w:rsidRPr="00BA479B">
              <w:t>to</w:t>
            </w:r>
            <w:r>
              <w:t>-</w:t>
            </w:r>
            <w:r w:rsidRPr="00BA479B">
              <w:t xml:space="preserve">mediocre work” (HSRC, 2010). </w:t>
            </w:r>
          </w:p>
          <w:p w14:paraId="2E264D84" w14:textId="05CF9F93" w:rsidR="008D55A7" w:rsidRDefault="008D55A7" w:rsidP="008C07CF">
            <w:r>
              <w:t xml:space="preserve">The </w:t>
            </w:r>
            <w:r w:rsidRPr="00BA479B">
              <w:t xml:space="preserve">Impact Assessment of National Skills Development Strategy II </w:t>
            </w:r>
            <w:r>
              <w:t xml:space="preserve">conducted by the HSRC </w:t>
            </w:r>
            <w:r w:rsidRPr="00BA479B">
              <w:t xml:space="preserve">noted that reports against targets were not systematically </w:t>
            </w:r>
            <w:r w:rsidRPr="00F47C02">
              <w:t>analyzed</w:t>
            </w:r>
            <w:r w:rsidRPr="00BA479B">
              <w:t xml:space="preserve"> (</w:t>
            </w:r>
            <w:proofErr w:type="spellStart"/>
            <w:r w:rsidRPr="00BA479B">
              <w:t>Kruss</w:t>
            </w:r>
            <w:proofErr w:type="spellEnd"/>
            <w:r w:rsidRPr="00BA479B">
              <w:t xml:space="preserve"> et al, 2012), a </w:t>
            </w:r>
            <w:r w:rsidRPr="00F47C02">
              <w:t>weakness traceable</w:t>
            </w:r>
            <w:r w:rsidRPr="00BA479B">
              <w:t xml:space="preserve"> </w:t>
            </w:r>
            <w:r>
              <w:t xml:space="preserve">prior to </w:t>
            </w:r>
            <w:r w:rsidRPr="00BA479B">
              <w:t>the SETAs</w:t>
            </w:r>
            <w:r>
              <w:t>’ migration</w:t>
            </w:r>
            <w:r w:rsidRPr="00BA479B">
              <w:t xml:space="preserve"> from the </w:t>
            </w:r>
            <w:proofErr w:type="spellStart"/>
            <w:r>
              <w:t>DoL</w:t>
            </w:r>
            <w:proofErr w:type="spellEnd"/>
            <w:r w:rsidRPr="00BA479B">
              <w:t xml:space="preserve"> to the DHET.</w:t>
            </w:r>
            <w:r w:rsidRPr="00BA479B" w:rsidDel="000715E0">
              <w:t xml:space="preserve"> </w:t>
            </w:r>
            <w:r>
              <w:t>T</w:t>
            </w:r>
            <w:r w:rsidRPr="00BA479B">
              <w:t xml:space="preserve">he NSDS III Implementation Progress Report 2011-2013 highlighted the absence of standards for data collection and inconsistent data capturing across the SETAs as an added challenge to producing quality SSPs (DHET, 2013). </w:t>
            </w:r>
            <w:r>
              <w:t>There was a great deal of criticism of SSPs, with the exception of a small number of SETAs, not just in relation to the evidence base of the plans but also the lack of stakeholder engagement and buy</w:t>
            </w:r>
            <w:r w:rsidR="00A94F13">
              <w:t>-</w:t>
            </w:r>
            <w:r>
              <w:t>in for the plans.</w:t>
            </w:r>
          </w:p>
        </w:tc>
      </w:tr>
      <w:tr w:rsidR="008D55A7" w:rsidRPr="00F47C02" w14:paraId="2F3B10F4" w14:textId="77777777" w:rsidTr="00813248">
        <w:tc>
          <w:tcPr>
            <w:tcW w:w="2022" w:type="dxa"/>
            <w:shd w:val="clear" w:color="auto" w:fill="D9D9D9" w:themeFill="background1" w:themeFillShade="D9"/>
          </w:tcPr>
          <w:p w14:paraId="448F2724" w14:textId="77777777" w:rsidR="008D55A7" w:rsidRPr="00BA479B" w:rsidRDefault="008D55A7" w:rsidP="008C07CF">
            <w:r w:rsidRPr="00A03B8F">
              <w:t>How many of the SETAs were producing quality plans?</w:t>
            </w:r>
          </w:p>
        </w:tc>
        <w:tc>
          <w:tcPr>
            <w:tcW w:w="7328" w:type="dxa"/>
            <w:shd w:val="clear" w:color="auto" w:fill="auto"/>
          </w:tcPr>
          <w:p w14:paraId="42DD6E43" w14:textId="77777777" w:rsidR="008D55A7" w:rsidRDefault="008D55A7" w:rsidP="008C07CF">
            <w:r w:rsidRPr="00A03B8F">
              <w:t xml:space="preserve">The </w:t>
            </w:r>
            <w:r>
              <w:t>HRD</w:t>
            </w:r>
            <w:r w:rsidR="00225CA6">
              <w:t>C</w:t>
            </w:r>
            <w:r>
              <w:t xml:space="preserve"> Expert </w:t>
            </w:r>
            <w:r w:rsidRPr="00A03B8F">
              <w:t xml:space="preserve">Panel’s </w:t>
            </w:r>
            <w:r>
              <w:rPr>
                <w:i/>
              </w:rPr>
              <w:t>Synthesis Report on</w:t>
            </w:r>
            <w:r w:rsidRPr="00A03B8F">
              <w:rPr>
                <w:i/>
              </w:rPr>
              <w:t xml:space="preserve"> the Review of the SSPs</w:t>
            </w:r>
            <w:r w:rsidRPr="00A03B8F">
              <w:t xml:space="preserve"> </w:t>
            </w:r>
            <w:r>
              <w:t xml:space="preserve">(2010) </w:t>
            </w:r>
            <w:r w:rsidRPr="00A03B8F">
              <w:t>found that of the 23 SETAs, four SSPs had ‘excellent’</w:t>
            </w:r>
            <w:r>
              <w:t xml:space="preserve"> rating;</w:t>
            </w:r>
            <w:r w:rsidRPr="00A03B8F">
              <w:t xml:space="preserve"> H</w:t>
            </w:r>
            <w:r>
              <w:t>ealth and Welfare (H</w:t>
            </w:r>
            <w:r w:rsidRPr="00A03B8F">
              <w:t>WSETA</w:t>
            </w:r>
            <w:r>
              <w:t>)</w:t>
            </w:r>
            <w:r w:rsidRPr="00A03B8F">
              <w:t xml:space="preserve">, </w:t>
            </w:r>
            <w:r>
              <w:t>Financial and Accounting Services (</w:t>
            </w:r>
            <w:proofErr w:type="spellStart"/>
            <w:r w:rsidRPr="00A03B8F">
              <w:t>Fasset</w:t>
            </w:r>
            <w:proofErr w:type="spellEnd"/>
            <w:r>
              <w:t>)</w:t>
            </w:r>
            <w:r w:rsidRPr="00A03B8F">
              <w:t xml:space="preserve">, </w:t>
            </w:r>
            <w:r>
              <w:t>Transport (</w:t>
            </w:r>
            <w:r w:rsidRPr="00A03B8F">
              <w:t>TETA</w:t>
            </w:r>
            <w:r>
              <w:t>)</w:t>
            </w:r>
            <w:r w:rsidRPr="00A03B8F">
              <w:t xml:space="preserve"> and </w:t>
            </w:r>
            <w:r>
              <w:t>Agriculture (</w:t>
            </w:r>
            <w:proofErr w:type="spellStart"/>
            <w:r w:rsidRPr="00A03B8F">
              <w:t>AgriSETA</w:t>
            </w:r>
            <w:proofErr w:type="spellEnd"/>
            <w:r w:rsidRPr="00A03B8F">
              <w:t>)</w:t>
            </w:r>
            <w:r>
              <w:t>.</w:t>
            </w:r>
            <w:r w:rsidRPr="00A03B8F">
              <w:t xml:space="preserve"> </w:t>
            </w:r>
            <w:r>
              <w:t>The Chemical Industries Education and Training Authority (</w:t>
            </w:r>
            <w:r w:rsidRPr="00A03B8F">
              <w:t>CHIETA</w:t>
            </w:r>
            <w:r>
              <w:t>) and the Mining Qualification Authority (</w:t>
            </w:r>
            <w:r w:rsidRPr="00A03B8F">
              <w:t xml:space="preserve">MQA) </w:t>
            </w:r>
            <w:r>
              <w:t>were rated ‘acceptable’</w:t>
            </w:r>
            <w:r w:rsidRPr="00A03B8F">
              <w:t>. Accordingly, the other 17 were too poor for public circulation (H</w:t>
            </w:r>
            <w:r w:rsidR="00594CD6">
              <w:t>RDC</w:t>
            </w:r>
            <w:r w:rsidRPr="00A03B8F">
              <w:t xml:space="preserve">, 2010). </w:t>
            </w:r>
            <w:r>
              <w:t xml:space="preserve">These SETAs were subsequently </w:t>
            </w:r>
            <w:r w:rsidRPr="00A03B8F">
              <w:t>granted</w:t>
            </w:r>
            <w:r>
              <w:t xml:space="preserve"> a</w:t>
            </w:r>
            <w:r w:rsidRPr="00A03B8F">
              <w:t xml:space="preserve"> fixed extension period </w:t>
            </w:r>
            <w:r>
              <w:t>for re-</w:t>
            </w:r>
            <w:r w:rsidRPr="00A03B8F">
              <w:t>submission and eventually made improvements ba</w:t>
            </w:r>
            <w:r w:rsidR="00B97113">
              <w:t xml:space="preserve">sed on comments from the panel. </w:t>
            </w:r>
          </w:p>
          <w:p w14:paraId="43DBE68B" w14:textId="77777777" w:rsidR="008D55A7" w:rsidRDefault="008D55A7" w:rsidP="008C07CF">
            <w:r>
              <w:t>It was reported that i</w:t>
            </w:r>
            <w:r w:rsidRPr="007D02B2">
              <w:t xml:space="preserve">nvalid data was sometimes used, resulting in </w:t>
            </w:r>
            <w:r>
              <w:t xml:space="preserve">wrong estimates of skills need and therefore a </w:t>
            </w:r>
            <w:r w:rsidRPr="007D02B2">
              <w:t xml:space="preserve">misalignment between demand and supply (DHET, 2013). Of equal importance was the “extent to which these SSP studies were outsourced to private consultancies who </w:t>
            </w:r>
            <w:r w:rsidR="00B97113">
              <w:t>were</w:t>
            </w:r>
            <w:r w:rsidRPr="007D02B2">
              <w:t xml:space="preserve"> equally poorly equipped to do the research work. It would seem the competenci</w:t>
            </w:r>
            <w:r>
              <w:t>es to produce good or bad SSPs a</w:t>
            </w:r>
            <w:r w:rsidRPr="007D02B2">
              <w:t xml:space="preserve">re evenly spread across the </w:t>
            </w:r>
            <w:r w:rsidRPr="007D02B2">
              <w:lastRenderedPageBreak/>
              <w:t>in-house SETA research teams and the private consultancies” (H</w:t>
            </w:r>
            <w:r w:rsidR="00225CA6">
              <w:t>RD</w:t>
            </w:r>
            <w:r w:rsidRPr="007D02B2">
              <w:t xml:space="preserve">C, 2010). </w:t>
            </w:r>
          </w:p>
          <w:p w14:paraId="6628330B" w14:textId="77777777" w:rsidR="008D55A7" w:rsidRPr="00BA479B" w:rsidRDefault="008D55A7" w:rsidP="008C07CF">
            <w:r w:rsidRPr="007D02B2">
              <w:t xml:space="preserve">Among other </w:t>
            </w:r>
            <w:r>
              <w:t xml:space="preserve">contributing </w:t>
            </w:r>
            <w:r w:rsidRPr="007D02B2">
              <w:t>factors, W</w:t>
            </w:r>
            <w:r>
              <w:t>orkplace Skills Plans (W</w:t>
            </w:r>
            <w:r w:rsidRPr="007D02B2">
              <w:t>SPs</w:t>
            </w:r>
            <w:r>
              <w:t>)</w:t>
            </w:r>
            <w:r w:rsidRPr="007D02B2">
              <w:t xml:space="preserve"> were reportedly weak, and concerned mainly with compliance requirements </w:t>
            </w:r>
            <w:r>
              <w:t xml:space="preserve">for the purpose of employers claiming mandatory grants. In </w:t>
            </w:r>
            <w:r w:rsidR="008C07CF">
              <w:t>general,</w:t>
            </w:r>
            <w:r>
              <w:t xml:space="preserve"> the WSPs </w:t>
            </w:r>
            <w:r w:rsidRPr="007D02B2">
              <w:t>focus</w:t>
            </w:r>
            <w:r>
              <w:t>ed</w:t>
            </w:r>
            <w:r w:rsidRPr="007D02B2">
              <w:t xml:space="preserve"> on immediate shortages</w:t>
            </w:r>
            <w:r>
              <w:t>,</w:t>
            </w:r>
            <w:r w:rsidRPr="007D02B2">
              <w:t xml:space="preserve"> </w:t>
            </w:r>
            <w:r>
              <w:t xml:space="preserve">and easy to implement </w:t>
            </w:r>
            <w:proofErr w:type="spellStart"/>
            <w:r>
              <w:t>programmes</w:t>
            </w:r>
            <w:proofErr w:type="spellEnd"/>
            <w:r>
              <w:t xml:space="preserve">, </w:t>
            </w:r>
            <w:r w:rsidRPr="007D02B2">
              <w:t xml:space="preserve">rather than projected and long-term needs. </w:t>
            </w:r>
            <w:r>
              <w:t>The number of WSPs submitted was reasonable in respect of large companies, low in respect of medium size companies and extremely low in relation to small and micro companies. The clear majority of very small companies did not submit WSPs and ATRs. So not only were SSP priorities based on poor research and inadequate</w:t>
            </w:r>
            <w:r w:rsidR="00225CA6">
              <w:t>, and</w:t>
            </w:r>
            <w:r>
              <w:t xml:space="preserve"> unrepresentative data from employers they were also to a great extent not reflecting the needs of small and emergent businesses. Given that the consensus amongst economic stakeholders was that small business was where future employment growth would be most likely to be located this was viewed as a serious weakness.  </w:t>
            </w:r>
            <w:r w:rsidRPr="007D02B2">
              <w:t xml:space="preserve"> </w:t>
            </w:r>
          </w:p>
        </w:tc>
      </w:tr>
      <w:tr w:rsidR="008D55A7" w:rsidRPr="00F47C02" w14:paraId="3A7447C8" w14:textId="77777777" w:rsidTr="00813248">
        <w:tc>
          <w:tcPr>
            <w:tcW w:w="2022" w:type="dxa"/>
            <w:shd w:val="clear" w:color="auto" w:fill="D9D9D9" w:themeFill="background1" w:themeFillShade="D9"/>
          </w:tcPr>
          <w:p w14:paraId="08061FF5" w14:textId="77777777" w:rsidR="008D55A7" w:rsidRPr="00BA479B" w:rsidRDefault="008D55A7" w:rsidP="008C07CF">
            <w:r w:rsidRPr="00A03B8F">
              <w:lastRenderedPageBreak/>
              <w:t>To what extent were SSPs informing SETA strategies and plans?</w:t>
            </w:r>
          </w:p>
        </w:tc>
        <w:tc>
          <w:tcPr>
            <w:tcW w:w="7328" w:type="dxa"/>
            <w:shd w:val="clear" w:color="auto" w:fill="auto"/>
          </w:tcPr>
          <w:p w14:paraId="6E04C022" w14:textId="77777777" w:rsidR="008D55A7" w:rsidRDefault="008D55A7" w:rsidP="008C07CF">
            <w:r w:rsidRPr="007D02B2">
              <w:t xml:space="preserve">SETA targets were not sufficiently informed by analysis of sectoral or spatial demand. Another concern within the </w:t>
            </w:r>
            <w:r>
              <w:t>DHET</w:t>
            </w:r>
            <w:r w:rsidRPr="007D02B2">
              <w:t xml:space="preserve"> was that very often</w:t>
            </w:r>
            <w:r>
              <w:t>,</w:t>
            </w:r>
            <w:r w:rsidRPr="007D02B2">
              <w:t xml:space="preserve"> the SETA strategic plans and Annual Performance Plans (APPs) were not informed by SSPs (SSP planning guides</w:t>
            </w:r>
            <w:r>
              <w:t>,</w:t>
            </w:r>
            <w:r w:rsidRPr="007D02B2">
              <w:t xml:space="preserve"> 2010/11). The problem was understood to be</w:t>
            </w:r>
            <w:r>
              <w:t>:</w:t>
            </w:r>
          </w:p>
          <w:p w14:paraId="474BD927" w14:textId="77777777" w:rsidR="008D55A7" w:rsidRDefault="008D55A7" w:rsidP="008C07CF">
            <w:pPr>
              <w:pStyle w:val="ListParagraph"/>
              <w:numPr>
                <w:ilvl w:val="0"/>
                <w:numId w:val="30"/>
              </w:numPr>
            </w:pPr>
            <w:r w:rsidRPr="009A722B">
              <w:t xml:space="preserve">that the planning function in SETAs was split, with Sector Skills Planning and Strategic Plans/APPs being managed </w:t>
            </w:r>
            <w:r w:rsidR="008C07CF" w:rsidRPr="009A722B">
              <w:t>by different</w:t>
            </w:r>
            <w:r w:rsidRPr="009A722B">
              <w:t xml:space="preserve"> </w:t>
            </w:r>
            <w:r w:rsidR="008C07CF">
              <w:t>people;</w:t>
            </w:r>
            <w:r w:rsidRPr="009A722B">
              <w:t xml:space="preserve"> and </w:t>
            </w:r>
          </w:p>
          <w:p w14:paraId="43D6904C" w14:textId="77777777" w:rsidR="008D55A7" w:rsidRDefault="008D55A7" w:rsidP="008C07CF">
            <w:pPr>
              <w:pStyle w:val="ListParagraph"/>
              <w:numPr>
                <w:ilvl w:val="0"/>
                <w:numId w:val="30"/>
              </w:numPr>
            </w:pPr>
            <w:r w:rsidRPr="009A722B">
              <w:t>when developing the “SETA plan” (S</w:t>
            </w:r>
            <w:r>
              <w:t>trategic Plans and APPs</w:t>
            </w:r>
            <w:r w:rsidRPr="009A722B">
              <w:t>)</w:t>
            </w:r>
            <w:r>
              <w:t>,</w:t>
            </w:r>
            <w:r w:rsidRPr="009A722B">
              <w:t xml:space="preserve"> little attention was paid to the “sector plan” (SSP). In other words, the allocation of resources in SETAs did not generally take account of the strategy and priorities set out in the SSP. </w:t>
            </w:r>
          </w:p>
          <w:p w14:paraId="196A995D" w14:textId="77777777" w:rsidR="008D55A7" w:rsidRPr="005B69BA" w:rsidRDefault="008D55A7" w:rsidP="008C07CF"/>
          <w:p w14:paraId="298A51E3" w14:textId="77777777" w:rsidR="008D55A7" w:rsidRPr="00BA479B" w:rsidRDefault="008D55A7" w:rsidP="008C07CF">
            <w:r w:rsidRPr="007D02B2">
              <w:t xml:space="preserve">Effectively this meant that the actual work of the SETAs was not linked to research-based sector plans. Typically, </w:t>
            </w:r>
            <w:proofErr w:type="spellStart"/>
            <w:r w:rsidRPr="007D02B2">
              <w:t>programmes</w:t>
            </w:r>
            <w:proofErr w:type="spellEnd"/>
            <w:r w:rsidRPr="007D02B2">
              <w:t xml:space="preserve"> were rolled-out arbitrarily to meet numerical performance targets, with a bias towards metropolitan and affluent provinces. Gauteng, Western Cape and Kwa-Zulu Natal accounted for 60% of all </w:t>
            </w:r>
            <w:proofErr w:type="spellStart"/>
            <w:r w:rsidRPr="007D02B2">
              <w:t>programmes</w:t>
            </w:r>
            <w:proofErr w:type="spellEnd"/>
            <w:r w:rsidRPr="007D02B2">
              <w:t xml:space="preserve">.  </w:t>
            </w:r>
            <w:r w:rsidRPr="00F02C85">
              <w:t xml:space="preserve">It is noteworthy that the quality of </w:t>
            </w:r>
            <w:proofErr w:type="spellStart"/>
            <w:r w:rsidRPr="00F02C85">
              <w:t>programmes</w:t>
            </w:r>
            <w:proofErr w:type="spellEnd"/>
            <w:r w:rsidRPr="00F02C85">
              <w:t xml:space="preserve"> was not always good, with some reportedly imparting outdated skills sets (</w:t>
            </w:r>
            <w:proofErr w:type="spellStart"/>
            <w:r w:rsidRPr="00F02C85">
              <w:t>Kruss</w:t>
            </w:r>
            <w:proofErr w:type="spellEnd"/>
            <w:r w:rsidRPr="00F02C85">
              <w:t xml:space="preserve"> et al, 2012).</w:t>
            </w:r>
            <w:r w:rsidRPr="007D02B2">
              <w:t xml:space="preserve"> </w:t>
            </w:r>
            <w:r w:rsidRPr="00DF3620">
              <w:t xml:space="preserve"> </w:t>
            </w:r>
          </w:p>
        </w:tc>
      </w:tr>
    </w:tbl>
    <w:p w14:paraId="19F2A717" w14:textId="77777777" w:rsidR="008D55A7" w:rsidRDefault="008D55A7" w:rsidP="008C07CF"/>
    <w:p w14:paraId="0D00D242" w14:textId="77777777" w:rsidR="008D55A7" w:rsidRDefault="008D55A7" w:rsidP="008C07CF"/>
    <w:tbl>
      <w:tblPr>
        <w:tblStyle w:val="TableGrid"/>
        <w:tblW w:w="0" w:type="auto"/>
        <w:tblLook w:val="04A0" w:firstRow="1" w:lastRow="0" w:firstColumn="1" w:lastColumn="0" w:noHBand="0" w:noVBand="1"/>
      </w:tblPr>
      <w:tblGrid>
        <w:gridCol w:w="2022"/>
        <w:gridCol w:w="7328"/>
      </w:tblGrid>
      <w:tr w:rsidR="008D55A7" w:rsidRPr="00F47C02" w14:paraId="4CCAA109" w14:textId="77777777" w:rsidTr="00813248">
        <w:trPr>
          <w:tblHeader/>
        </w:trPr>
        <w:tc>
          <w:tcPr>
            <w:tcW w:w="9350" w:type="dxa"/>
            <w:gridSpan w:val="2"/>
            <w:shd w:val="clear" w:color="auto" w:fill="943634" w:themeFill="accent2" w:themeFillShade="BF"/>
          </w:tcPr>
          <w:p w14:paraId="738EEA97" w14:textId="77777777" w:rsidR="008D55A7" w:rsidRPr="003F3AE8" w:rsidRDefault="008D55A7" w:rsidP="008C07CF">
            <w:r w:rsidRPr="003F3AE8">
              <w:lastRenderedPageBreak/>
              <w:t xml:space="preserve">Output 4.1.1.3: Sector and nationally commissioned research and data is </w:t>
            </w:r>
            <w:proofErr w:type="spellStart"/>
            <w:r w:rsidRPr="003F3AE8">
              <w:t>analysed</w:t>
            </w:r>
            <w:proofErr w:type="spellEnd"/>
            <w:r w:rsidRPr="003F3AE8">
              <w:t>, validated and captured in an integrated database that is accessible to stakeholders.</w:t>
            </w:r>
          </w:p>
        </w:tc>
      </w:tr>
      <w:tr w:rsidR="008D55A7" w:rsidRPr="00F47C02" w14:paraId="65D6AD6B" w14:textId="77777777" w:rsidTr="00813248">
        <w:tc>
          <w:tcPr>
            <w:tcW w:w="2022" w:type="dxa"/>
            <w:shd w:val="clear" w:color="auto" w:fill="D9D9D9" w:themeFill="background1" w:themeFillShade="D9"/>
          </w:tcPr>
          <w:p w14:paraId="1490AB9E" w14:textId="77777777" w:rsidR="008D55A7" w:rsidRPr="00BA479B" w:rsidRDefault="008D55A7" w:rsidP="008C07CF">
            <w:r w:rsidRPr="003F3AE8">
              <w:t xml:space="preserve">To what extent was research being </w:t>
            </w:r>
            <w:proofErr w:type="spellStart"/>
            <w:r w:rsidRPr="003F3AE8">
              <w:t>analysed</w:t>
            </w:r>
            <w:proofErr w:type="spellEnd"/>
            <w:r w:rsidRPr="003F3AE8">
              <w:t>, validated and captured?</w:t>
            </w:r>
          </w:p>
        </w:tc>
        <w:tc>
          <w:tcPr>
            <w:tcW w:w="7328" w:type="dxa"/>
            <w:shd w:val="clear" w:color="auto" w:fill="auto"/>
          </w:tcPr>
          <w:p w14:paraId="0D147B9B" w14:textId="77777777" w:rsidR="008D55A7" w:rsidRPr="00BA479B" w:rsidRDefault="008D55A7" w:rsidP="008C07CF">
            <w:r w:rsidRPr="003F3AE8">
              <w:t>The study found evidence of nationally-commissioned research undertakings, mostly outsourced to research institutions such as the H</w:t>
            </w:r>
            <w:r>
              <w:t>uman Sciences Research Council (H</w:t>
            </w:r>
            <w:r w:rsidRPr="003F3AE8">
              <w:t>SRC</w:t>
            </w:r>
            <w:r>
              <w:t>)</w:t>
            </w:r>
            <w:r w:rsidRPr="003F3AE8">
              <w:t>, N</w:t>
            </w:r>
            <w:r>
              <w:t xml:space="preserve">on-governmental </w:t>
            </w:r>
            <w:proofErr w:type="spellStart"/>
            <w:r>
              <w:t>oganisations</w:t>
            </w:r>
            <w:proofErr w:type="spellEnd"/>
            <w:r>
              <w:t xml:space="preserve"> (N</w:t>
            </w:r>
            <w:r w:rsidRPr="003F3AE8">
              <w:t>GOs</w:t>
            </w:r>
            <w:r>
              <w:t>)</w:t>
            </w:r>
            <w:r w:rsidRPr="003F3AE8">
              <w:t xml:space="preserve"> and private consultants. Some SETAs had reportedly initia</w:t>
            </w:r>
            <w:r>
              <w:t>ted partnerships with higher education institutions</w:t>
            </w:r>
            <w:r w:rsidRPr="003F3AE8">
              <w:t xml:space="preserve"> and in some cases, funded the establishment of Research Chairs. It is however not clear how research outputs were </w:t>
            </w:r>
            <w:proofErr w:type="spellStart"/>
            <w:r w:rsidRPr="003F3AE8">
              <w:t>analysed</w:t>
            </w:r>
            <w:proofErr w:type="spellEnd"/>
            <w:r w:rsidRPr="003F3AE8">
              <w:t xml:space="preserve"> and validated</w:t>
            </w:r>
            <w:r>
              <w:t xml:space="preserve">. Equally, </w:t>
            </w:r>
            <w:r w:rsidRPr="003F3AE8">
              <w:t>there is no evidence to suggest that there was an integrated database or accessible repository facility.</w:t>
            </w:r>
            <w:r w:rsidR="00225CA6">
              <w:t xml:space="preserve"> The difficulties that are experienced in accessing research on skills is evidence of the lack of capturing of research outputs. </w:t>
            </w:r>
          </w:p>
        </w:tc>
      </w:tr>
    </w:tbl>
    <w:p w14:paraId="77C7BFFA" w14:textId="77777777" w:rsidR="008D55A7" w:rsidRDefault="008D55A7" w:rsidP="008C07CF"/>
    <w:p w14:paraId="451CDF6B" w14:textId="77777777" w:rsidR="00961D57" w:rsidRPr="003F3AE8" w:rsidRDefault="00E6183D" w:rsidP="008C07CF">
      <w:r>
        <w:t>SUMMARY</w:t>
      </w:r>
    </w:p>
    <w:p w14:paraId="7FB3E09D" w14:textId="77777777" w:rsidR="00CD3CD1" w:rsidRDefault="0009492F" w:rsidP="008C07CF">
      <w:r w:rsidRPr="003F3AE8">
        <w:t xml:space="preserve">The </w:t>
      </w:r>
      <w:r w:rsidR="00743F20" w:rsidRPr="003F3AE8">
        <w:t>above</w:t>
      </w:r>
      <w:r w:rsidRPr="003F3AE8">
        <w:t xml:space="preserve"> suggest</w:t>
      </w:r>
      <w:r w:rsidR="00E371D7">
        <w:t>s</w:t>
      </w:r>
      <w:r w:rsidRPr="003F3AE8">
        <w:t xml:space="preserve"> that the </w:t>
      </w:r>
      <w:r w:rsidR="003F3AE8">
        <w:t xml:space="preserve">research capacity </w:t>
      </w:r>
      <w:r w:rsidR="000D7718">
        <w:t xml:space="preserve">inadequacies </w:t>
      </w:r>
      <w:r w:rsidR="00961D57" w:rsidRPr="003F3AE8">
        <w:t xml:space="preserve">within </w:t>
      </w:r>
      <w:r w:rsidRPr="003F3AE8">
        <w:t xml:space="preserve">the system </w:t>
      </w:r>
      <w:r w:rsidR="000D7718">
        <w:t xml:space="preserve">compromised </w:t>
      </w:r>
      <w:r w:rsidR="00D50DED">
        <w:t>the</w:t>
      </w:r>
      <w:r w:rsidR="00961D57" w:rsidRPr="003F3AE8">
        <w:t xml:space="preserve"> quality </w:t>
      </w:r>
      <w:r w:rsidR="003F3AE8">
        <w:t xml:space="preserve">of </w:t>
      </w:r>
      <w:r w:rsidR="00961D57" w:rsidRPr="003F3AE8">
        <w:t>SSPs</w:t>
      </w:r>
      <w:r w:rsidR="000D7718">
        <w:t>.</w:t>
      </w:r>
      <w:r w:rsidR="00D50DED">
        <w:t xml:space="preserve"> </w:t>
      </w:r>
      <w:r w:rsidR="00682225">
        <w:t xml:space="preserve">This is exemplified by the number of SSPs which were </w:t>
      </w:r>
      <w:r w:rsidR="002564E7">
        <w:t xml:space="preserve">poorly </w:t>
      </w:r>
      <w:r w:rsidR="00682225">
        <w:t>rated</w:t>
      </w:r>
      <w:r w:rsidR="002564E7">
        <w:t>, 17 out of 23.</w:t>
      </w:r>
      <w:r w:rsidR="00682225">
        <w:t xml:space="preserve"> </w:t>
      </w:r>
      <w:r w:rsidR="002F2E1D">
        <w:t xml:space="preserve">On the one hand, </w:t>
      </w:r>
      <w:r w:rsidR="00D50DED" w:rsidRPr="003F3AE8">
        <w:t xml:space="preserve">the DHET did not have </w:t>
      </w:r>
      <w:r w:rsidR="002564E7">
        <w:t>research capacity</w:t>
      </w:r>
      <w:r w:rsidR="00D50DED" w:rsidRPr="00BE6175">
        <w:t xml:space="preserve"> within the Skills Branch</w:t>
      </w:r>
      <w:r w:rsidR="00D50DED">
        <w:t xml:space="preserve">. </w:t>
      </w:r>
      <w:r w:rsidR="00A91544">
        <w:t xml:space="preserve">On the other, </w:t>
      </w:r>
      <w:r w:rsidR="00D50DED" w:rsidRPr="003F3AE8">
        <w:t>SETAs</w:t>
      </w:r>
      <w:r w:rsidR="00D50DED">
        <w:t xml:space="preserve"> internal research capacity was not str</w:t>
      </w:r>
      <w:r w:rsidR="00682225">
        <w:t>o</w:t>
      </w:r>
      <w:r w:rsidR="00D50DED">
        <w:t>n</w:t>
      </w:r>
      <w:r w:rsidR="00682225">
        <w:t>g</w:t>
      </w:r>
      <w:r w:rsidR="00D50DED">
        <w:t xml:space="preserve"> either. The latter’s situation generally </w:t>
      </w:r>
      <w:r w:rsidR="000D7718">
        <w:t>contributed to SETAs</w:t>
      </w:r>
      <w:r w:rsidR="00225CA6">
        <w:t>’</w:t>
      </w:r>
      <w:r w:rsidR="000D7718">
        <w:t xml:space="preserve"> </w:t>
      </w:r>
      <w:r w:rsidR="00AF3C30">
        <w:t xml:space="preserve">lack of adequate </w:t>
      </w:r>
      <w:r w:rsidR="000D7718">
        <w:t>choices</w:t>
      </w:r>
      <w:r w:rsidR="00225CA6">
        <w:t xml:space="preserve"> around,</w:t>
      </w:r>
      <w:r w:rsidR="000D7718">
        <w:t xml:space="preserve"> </w:t>
      </w:r>
      <w:r w:rsidR="00AF3C30">
        <w:t xml:space="preserve">or management </w:t>
      </w:r>
      <w:r w:rsidR="000D7718">
        <w:t>of</w:t>
      </w:r>
      <w:r w:rsidR="00225CA6">
        <w:t>,</w:t>
      </w:r>
      <w:r w:rsidR="000D7718">
        <w:t xml:space="preserve"> </w:t>
      </w:r>
      <w:r w:rsidR="00961D57" w:rsidRPr="003F3AE8">
        <w:t>outsource</w:t>
      </w:r>
      <w:r w:rsidR="007D12CB">
        <w:t>d</w:t>
      </w:r>
      <w:r w:rsidR="00961D57" w:rsidRPr="003F3AE8">
        <w:t xml:space="preserve"> research services to consultants</w:t>
      </w:r>
      <w:r w:rsidR="000D7718">
        <w:t>,</w:t>
      </w:r>
      <w:r w:rsidR="00961D57" w:rsidRPr="003F3AE8">
        <w:t xml:space="preserve"> </w:t>
      </w:r>
      <w:r w:rsidR="002F2E1D">
        <w:t xml:space="preserve">most of </w:t>
      </w:r>
      <w:r w:rsidR="00AF3C30">
        <w:t xml:space="preserve">which </w:t>
      </w:r>
      <w:r w:rsidR="00961D57" w:rsidRPr="003F3AE8">
        <w:t xml:space="preserve">were </w:t>
      </w:r>
      <w:r w:rsidR="007D12CB">
        <w:t xml:space="preserve">reportedly </w:t>
      </w:r>
      <w:r w:rsidR="005B4448" w:rsidRPr="00F47C02">
        <w:t>incapable</w:t>
      </w:r>
      <w:r w:rsidR="00761FBB" w:rsidRPr="003F3AE8">
        <w:t xml:space="preserve"> of delivering quality SSPs</w:t>
      </w:r>
      <w:r w:rsidR="000D7718">
        <w:t xml:space="preserve">. </w:t>
      </w:r>
      <w:r w:rsidR="00761FBB" w:rsidRPr="003F3AE8">
        <w:t>The</w:t>
      </w:r>
      <w:r w:rsidR="003F3AE8">
        <w:t>se</w:t>
      </w:r>
      <w:r w:rsidR="00761FBB" w:rsidRPr="003F3AE8">
        <w:t xml:space="preserve"> </w:t>
      </w:r>
      <w:r w:rsidR="000D7718">
        <w:t>limitation</w:t>
      </w:r>
      <w:r w:rsidR="00E30B32">
        <w:t xml:space="preserve">s </w:t>
      </w:r>
      <w:r w:rsidR="003F3AE8">
        <w:t>in turn</w:t>
      </w:r>
      <w:r w:rsidR="00E30B32">
        <w:t xml:space="preserve"> negatively </w:t>
      </w:r>
      <w:r w:rsidR="00761FBB" w:rsidRPr="003F3AE8">
        <w:t>impact</w:t>
      </w:r>
      <w:r w:rsidR="007D12CB">
        <w:t xml:space="preserve">ed </w:t>
      </w:r>
      <w:r w:rsidR="00E30B32">
        <w:t xml:space="preserve">on the </w:t>
      </w:r>
      <w:r w:rsidR="00825662">
        <w:t>strategi</w:t>
      </w:r>
      <w:r w:rsidR="003F3AE8">
        <w:t>c</w:t>
      </w:r>
      <w:r w:rsidR="00825662">
        <w:t xml:space="preserve"> and </w:t>
      </w:r>
      <w:r w:rsidR="007D02B2">
        <w:t xml:space="preserve">annual </w:t>
      </w:r>
      <w:r w:rsidR="003F3AE8">
        <w:t xml:space="preserve">performance </w:t>
      </w:r>
      <w:r w:rsidR="007D02B2">
        <w:t>plans of</w:t>
      </w:r>
      <w:r w:rsidR="00825662">
        <w:t xml:space="preserve"> the SETAs</w:t>
      </w:r>
      <w:r w:rsidR="007D02B2">
        <w:t xml:space="preserve">. </w:t>
      </w:r>
      <w:r w:rsidR="004E5972">
        <w:t xml:space="preserve">Poor SSPs meant that </w:t>
      </w:r>
      <w:r w:rsidR="005B4448">
        <w:t>intervention</w:t>
      </w:r>
      <w:r w:rsidR="004E5972">
        <w:t xml:space="preserve"> </w:t>
      </w:r>
      <w:proofErr w:type="spellStart"/>
      <w:r w:rsidR="004E5972">
        <w:t>programmes</w:t>
      </w:r>
      <w:proofErr w:type="spellEnd"/>
      <w:r w:rsidR="004E5972">
        <w:t xml:space="preserve"> were not aligned to </w:t>
      </w:r>
      <w:r w:rsidR="005B4448">
        <w:t>their SSPs</w:t>
      </w:r>
      <w:r w:rsidR="004E5972">
        <w:t xml:space="preserve">, and the implication is that </w:t>
      </w:r>
      <w:r w:rsidR="002E36E5">
        <w:t xml:space="preserve">in general not only were SSPs poorly researched, and SETA plans </w:t>
      </w:r>
      <w:r w:rsidR="00A94F13">
        <w:t xml:space="preserve">were </w:t>
      </w:r>
      <w:r w:rsidR="002E36E5">
        <w:t xml:space="preserve">not based on sector plans, essentially SETAs were allocating </w:t>
      </w:r>
      <w:r w:rsidR="00EB04BF">
        <w:t>resources</w:t>
      </w:r>
      <w:r w:rsidR="002E36E5">
        <w:t xml:space="preserve"> in a manner that was not consistent with either evidence based research or a well thought out strategy for the sector. </w:t>
      </w:r>
      <w:r w:rsidR="002576BC">
        <w:t xml:space="preserve">It was the view of the Ministry and leadership of the newly formed </w:t>
      </w:r>
      <w:r w:rsidR="00AF3C30">
        <w:t xml:space="preserve">DHET </w:t>
      </w:r>
      <w:r w:rsidR="002576BC">
        <w:t>that</w:t>
      </w:r>
      <w:r w:rsidR="002E36E5">
        <w:t xml:space="preserve"> SETA plans had become divorced from the strategic intent of the </w:t>
      </w:r>
      <w:r w:rsidR="00BE6D3A">
        <w:t>SDA</w:t>
      </w:r>
      <w:r w:rsidR="002E36E5">
        <w:t xml:space="preserve"> and the NSDS. </w:t>
      </w:r>
    </w:p>
    <w:p w14:paraId="32BCD196" w14:textId="77777777" w:rsidR="00D50DED" w:rsidRDefault="00A91544" w:rsidP="008C07CF">
      <w:pPr>
        <w:pStyle w:val="Heading2"/>
      </w:pPr>
      <w:bookmarkStart w:id="24" w:name="_Toc488525870"/>
      <w:r w:rsidRPr="003F3AE8">
        <w:t xml:space="preserve">Goal 2: Increasing </w:t>
      </w:r>
      <w:r w:rsidR="009C7D65">
        <w:t>A</w:t>
      </w:r>
      <w:r w:rsidRPr="003F3AE8">
        <w:t xml:space="preserve">ccess to </w:t>
      </w:r>
      <w:r w:rsidR="009C7D65">
        <w:t>O</w:t>
      </w:r>
      <w:r w:rsidRPr="003F3AE8">
        <w:t>ccupationally-</w:t>
      </w:r>
      <w:r w:rsidR="009C7D65">
        <w:t>D</w:t>
      </w:r>
      <w:r w:rsidRPr="003F3AE8">
        <w:t xml:space="preserve">irected </w:t>
      </w:r>
      <w:proofErr w:type="spellStart"/>
      <w:r w:rsidR="009C7D65">
        <w:t>P</w:t>
      </w:r>
      <w:r w:rsidRPr="003F3AE8">
        <w:t>rogrammes</w:t>
      </w:r>
      <w:bookmarkEnd w:id="24"/>
      <w:proofErr w:type="spellEnd"/>
    </w:p>
    <w:p w14:paraId="10C1265C" w14:textId="77777777" w:rsidR="00225CA6" w:rsidRPr="00225CA6" w:rsidRDefault="00225CA6" w:rsidP="008C07CF"/>
    <w:p w14:paraId="5CE95A1B" w14:textId="77777777" w:rsidR="00B81EFC" w:rsidRPr="00E56E92" w:rsidRDefault="00243D22" w:rsidP="008C07CF">
      <w:r w:rsidRPr="00E56E92">
        <w:t>Outcome 4.2.1</w:t>
      </w:r>
      <w:r w:rsidR="00A228D8" w:rsidRPr="00E56E92">
        <w:t xml:space="preserve">: </w:t>
      </w:r>
      <w:r w:rsidR="00B81EFC" w:rsidRPr="00E56E92">
        <w:t>Middle level skills needs are identified and addressed in all sectors</w:t>
      </w:r>
    </w:p>
    <w:p w14:paraId="7F32B0F8" w14:textId="77777777" w:rsidR="00791190" w:rsidRDefault="005B4448" w:rsidP="008C07CF">
      <w:r w:rsidRPr="00F47C02">
        <w:t>Several</w:t>
      </w:r>
      <w:r w:rsidR="00A228D8" w:rsidRPr="002E36E5">
        <w:t xml:space="preserve"> studies (</w:t>
      </w:r>
      <w:proofErr w:type="spellStart"/>
      <w:r w:rsidR="00A228D8" w:rsidRPr="002E36E5">
        <w:t>Singi</w:t>
      </w:r>
      <w:r w:rsidR="009C1B87">
        <w:t>z</w:t>
      </w:r>
      <w:r w:rsidR="00A228D8" w:rsidRPr="002E36E5">
        <w:t>i</w:t>
      </w:r>
      <w:proofErr w:type="spellEnd"/>
      <w:r w:rsidR="00A228D8" w:rsidRPr="002E36E5">
        <w:t xml:space="preserve">, </w:t>
      </w:r>
      <w:r w:rsidR="00B635EE">
        <w:t xml:space="preserve">2007: </w:t>
      </w:r>
      <w:proofErr w:type="spellStart"/>
      <w:r w:rsidR="00A228D8" w:rsidRPr="002E36E5">
        <w:t>Nedlac</w:t>
      </w:r>
      <w:proofErr w:type="spellEnd"/>
      <w:r w:rsidR="00A228D8" w:rsidRPr="002E36E5">
        <w:t xml:space="preserve"> SETA </w:t>
      </w:r>
      <w:r w:rsidR="00B635EE">
        <w:t>R</w:t>
      </w:r>
      <w:r w:rsidR="00A228D8" w:rsidRPr="002E36E5">
        <w:t xml:space="preserve">eview, </w:t>
      </w:r>
      <w:r w:rsidR="00B635EE">
        <w:t xml:space="preserve">2008: </w:t>
      </w:r>
      <w:r w:rsidR="009C1B87">
        <w:t>JIPSA close-</w:t>
      </w:r>
      <w:r w:rsidR="002E36E5">
        <w:t>out report, 2010)</w:t>
      </w:r>
      <w:r w:rsidR="00A228D8" w:rsidRPr="002E36E5">
        <w:t xml:space="preserve"> highlighted a challenge in relation to middle</w:t>
      </w:r>
      <w:r w:rsidR="004E5972">
        <w:t>-</w:t>
      </w:r>
      <w:r w:rsidR="00A228D8" w:rsidRPr="002E36E5">
        <w:t>level skills. On the one hand</w:t>
      </w:r>
      <w:r w:rsidR="00DE38FD" w:rsidRPr="002E36E5">
        <w:t>,</w:t>
      </w:r>
      <w:r w:rsidR="00A228D8" w:rsidRPr="002E36E5">
        <w:t xml:space="preserve"> there was a general recognition of the importance of middle</w:t>
      </w:r>
      <w:r w:rsidR="00791190">
        <w:t>-</w:t>
      </w:r>
      <w:r w:rsidR="00A228D8" w:rsidRPr="002E36E5">
        <w:t xml:space="preserve">level and </w:t>
      </w:r>
      <w:r w:rsidRPr="00F47C02">
        <w:t>artisan</w:t>
      </w:r>
      <w:r w:rsidR="00A228D8" w:rsidRPr="002E36E5">
        <w:t xml:space="preserve"> skills in </w:t>
      </w:r>
      <w:r w:rsidR="00225CA6">
        <w:t xml:space="preserve">particular in </w:t>
      </w:r>
      <w:r w:rsidR="00A228D8" w:rsidRPr="002E36E5">
        <w:t xml:space="preserve">the development of the economy. </w:t>
      </w:r>
      <w:r w:rsidR="008C07CF" w:rsidRPr="002E36E5">
        <w:t>On the other, there were unintended pressures within SETAs, including the way grants were disbursed and providers motivated to deliver training, for lower</w:t>
      </w:r>
      <w:r w:rsidR="008C07CF">
        <w:t>-</w:t>
      </w:r>
      <w:r w:rsidR="008C07CF" w:rsidRPr="002E36E5">
        <w:t xml:space="preserve">level </w:t>
      </w:r>
      <w:r w:rsidR="008C07CF">
        <w:t xml:space="preserve">skills to </w:t>
      </w:r>
      <w:r w:rsidR="008C07CF">
        <w:lastRenderedPageBreak/>
        <w:t xml:space="preserve">be prioritized – i.e. qualifications at </w:t>
      </w:r>
      <w:r w:rsidR="008C07CF" w:rsidRPr="002E36E5">
        <w:t xml:space="preserve">levels 1 and 2 on the </w:t>
      </w:r>
      <w:r w:rsidR="008C07CF">
        <w:t>National Qualifications Framework (</w:t>
      </w:r>
      <w:r w:rsidR="008C07CF" w:rsidRPr="002E36E5">
        <w:t>NQF)</w:t>
      </w:r>
      <w:r w:rsidR="008C07CF">
        <w:t>.</w:t>
      </w:r>
      <w:r w:rsidR="008C07CF" w:rsidRPr="002E36E5">
        <w:t xml:space="preserve"> </w:t>
      </w:r>
      <w:r w:rsidR="009B6042" w:rsidRPr="002E36E5">
        <w:t xml:space="preserve">Achieving numerical targets was viewed to be much easier when the </w:t>
      </w:r>
      <w:proofErr w:type="spellStart"/>
      <w:r w:rsidR="009B6042" w:rsidRPr="002E36E5">
        <w:t>programmes</w:t>
      </w:r>
      <w:proofErr w:type="spellEnd"/>
      <w:r w:rsidR="009B6042" w:rsidRPr="002E36E5">
        <w:t xml:space="preserve"> were for one year or less, and pitched at a level that would be relatively easy for people to achieve. </w:t>
      </w:r>
    </w:p>
    <w:p w14:paraId="56BC2143" w14:textId="77777777" w:rsidR="00A91544" w:rsidRDefault="002E36E5" w:rsidP="008C07CF">
      <w:r>
        <w:t>T</w:t>
      </w:r>
      <w:r w:rsidR="009B6042" w:rsidRPr="002E36E5">
        <w:t xml:space="preserve">his was not a problem across the entire system but it was seen to be significant enough to warrant </w:t>
      </w:r>
      <w:r w:rsidR="002B1590">
        <w:t>NSDS III</w:t>
      </w:r>
      <w:r w:rsidR="009B6042" w:rsidRPr="002E36E5">
        <w:t xml:space="preserve"> having a </w:t>
      </w:r>
      <w:r w:rsidR="005B4448" w:rsidRPr="00F47C02">
        <w:t>focus</w:t>
      </w:r>
      <w:r w:rsidR="009B6042" w:rsidRPr="002E36E5">
        <w:t xml:space="preserve"> on middle</w:t>
      </w:r>
      <w:r w:rsidR="004E5972">
        <w:t>-</w:t>
      </w:r>
      <w:r w:rsidR="009B6042" w:rsidRPr="002E36E5">
        <w:t xml:space="preserve">level skills. </w:t>
      </w:r>
    </w:p>
    <w:p w14:paraId="0A54FB42" w14:textId="77777777" w:rsidR="00503738" w:rsidRDefault="009B6042" w:rsidP="008C07CF">
      <w:r w:rsidRPr="002E36E5">
        <w:t xml:space="preserve">The following assesses the situation in 2010/11 in relation to the planned </w:t>
      </w:r>
      <w:r w:rsidR="004E5972">
        <w:t>O</w:t>
      </w:r>
      <w:r w:rsidRPr="002E36E5">
        <w:t xml:space="preserve">utputs linked to the achievement of the overall </w:t>
      </w:r>
      <w:r w:rsidR="004E5972">
        <w:t>O</w:t>
      </w:r>
      <w:r w:rsidRPr="002E36E5">
        <w:t xml:space="preserve">utcome.  </w:t>
      </w:r>
      <w:r w:rsidR="00A228D8" w:rsidRPr="002E36E5">
        <w:t xml:space="preserve"> </w:t>
      </w:r>
    </w:p>
    <w:tbl>
      <w:tblPr>
        <w:tblStyle w:val="TableGrid"/>
        <w:tblW w:w="0" w:type="auto"/>
        <w:tblLook w:val="04A0" w:firstRow="1" w:lastRow="0" w:firstColumn="1" w:lastColumn="0" w:noHBand="0" w:noVBand="1"/>
      </w:tblPr>
      <w:tblGrid>
        <w:gridCol w:w="1980"/>
        <w:gridCol w:w="7370"/>
      </w:tblGrid>
      <w:tr w:rsidR="001C2537" w:rsidRPr="00F47C02" w14:paraId="6BC241F0" w14:textId="77777777" w:rsidTr="001C2537">
        <w:trPr>
          <w:tblHeader/>
        </w:trPr>
        <w:tc>
          <w:tcPr>
            <w:tcW w:w="9350" w:type="dxa"/>
            <w:gridSpan w:val="2"/>
            <w:shd w:val="clear" w:color="auto" w:fill="943634" w:themeFill="accent2" w:themeFillShade="BF"/>
          </w:tcPr>
          <w:p w14:paraId="7937C660" w14:textId="77777777" w:rsidR="001C2537" w:rsidRPr="00251543" w:rsidRDefault="00CF6050" w:rsidP="008C07CF">
            <w:r>
              <w:t>Output 4.2.1.1</w:t>
            </w:r>
            <w:r w:rsidR="001C2537" w:rsidRPr="00251543">
              <w:t>: SETAs research and identify middle level skills needs in their sectors and put in place strategies to address them, particularly through the use of the public FET colleges and universities of technology working in partnership with employers providing workplace-based training.</w:t>
            </w:r>
          </w:p>
        </w:tc>
      </w:tr>
      <w:tr w:rsidR="00D63130" w:rsidRPr="00F47C02" w14:paraId="50769BCA" w14:textId="77777777" w:rsidTr="00D63130">
        <w:tc>
          <w:tcPr>
            <w:tcW w:w="1980" w:type="dxa"/>
            <w:shd w:val="clear" w:color="auto" w:fill="D9D9D9" w:themeFill="background1" w:themeFillShade="D9"/>
          </w:tcPr>
          <w:p w14:paraId="16689824" w14:textId="77777777" w:rsidR="001C2537" w:rsidRPr="00BA479B" w:rsidRDefault="001C2537" w:rsidP="008C07CF">
            <w:r w:rsidRPr="00251543">
              <w:t>What was the definition of middle-level skills?</w:t>
            </w:r>
          </w:p>
        </w:tc>
        <w:tc>
          <w:tcPr>
            <w:tcW w:w="7370" w:type="dxa"/>
            <w:shd w:val="clear" w:color="auto" w:fill="auto"/>
          </w:tcPr>
          <w:p w14:paraId="45A14B9C" w14:textId="77777777" w:rsidR="001C2537" w:rsidRPr="00BA48E8" w:rsidRDefault="001C2537" w:rsidP="008C07CF">
            <w:r w:rsidRPr="00BA48E8">
              <w:t>Middle</w:t>
            </w:r>
            <w:r>
              <w:t>-</w:t>
            </w:r>
            <w:r w:rsidRPr="00BA48E8">
              <w:t>level skills were generally understood to be those at levels 2-4 on the NQF. Higher level skills were viewed as those provided in the Higher Education band (Levels 5-8). With the 2008 NQF Act and the bringing in of 10 NQF levels</w:t>
            </w:r>
            <w:r>
              <w:t>,</w:t>
            </w:r>
            <w:r w:rsidRPr="00BA48E8">
              <w:t xml:space="preserve"> </w:t>
            </w:r>
            <w:r>
              <w:t>h</w:t>
            </w:r>
            <w:r w:rsidRPr="00BA48E8">
              <w:t xml:space="preserve">igher </w:t>
            </w:r>
            <w:r>
              <w:t>e</w:t>
            </w:r>
            <w:r w:rsidRPr="00BA48E8">
              <w:t xml:space="preserve">ducation remained responsible for levels 5 and above but tended to be more concerned with Bachelor’s </w:t>
            </w:r>
            <w:r>
              <w:t>D</w:t>
            </w:r>
            <w:r w:rsidRPr="00BA48E8">
              <w:t>egrees (now at level 6)</w:t>
            </w:r>
            <w:r>
              <w:t xml:space="preserve">, </w:t>
            </w:r>
            <w:proofErr w:type="spellStart"/>
            <w:r>
              <w:t>Honours</w:t>
            </w:r>
            <w:proofErr w:type="spellEnd"/>
            <w:r>
              <w:t xml:space="preserve"> Degrees (now at level 7),</w:t>
            </w:r>
            <w:r w:rsidRPr="00BA48E8">
              <w:t xml:space="preserve"> and above. Middle</w:t>
            </w:r>
            <w:r>
              <w:t>-</w:t>
            </w:r>
            <w:r w:rsidRPr="00BA48E8">
              <w:t>level has therefore started to include level 5 certificates as well as Levels 2-4</w:t>
            </w:r>
            <w:r>
              <w:t xml:space="preserve"> qualifications</w:t>
            </w:r>
            <w:r w:rsidRPr="00BA48E8">
              <w:t xml:space="preserve">. </w:t>
            </w:r>
          </w:p>
          <w:p w14:paraId="57DE71CB" w14:textId="77777777" w:rsidR="001C2537" w:rsidRPr="00CF6050" w:rsidRDefault="00CF6050" w:rsidP="008C07CF">
            <w:r>
              <w:t xml:space="preserve">Although methodology was a challenge and there was limited confidence in the research informing the </w:t>
            </w:r>
            <w:r w:rsidR="007154B4">
              <w:t xml:space="preserve">SETA SSPs, </w:t>
            </w:r>
            <w:r w:rsidR="001C2537" w:rsidRPr="00BA48E8">
              <w:t>SETAs were identifying the middle</w:t>
            </w:r>
            <w:r w:rsidR="001C2537">
              <w:t>-</w:t>
            </w:r>
            <w:r w:rsidR="001C2537" w:rsidRPr="00BA48E8">
              <w:t>level skills in their sectors. In some SETAs these were relevant artisan trades such as chefs, plasterers</w:t>
            </w:r>
            <w:r w:rsidR="001C2537">
              <w:t>, welders, mechanics</w:t>
            </w:r>
            <w:r w:rsidR="001C2537" w:rsidRPr="00BA48E8">
              <w:t xml:space="preserve"> and electricians</w:t>
            </w:r>
            <w:r w:rsidR="001C2537">
              <w:t xml:space="preserve">, and </w:t>
            </w:r>
            <w:r w:rsidR="001C2537" w:rsidRPr="00BA48E8">
              <w:t>in other</w:t>
            </w:r>
            <w:r w:rsidR="001C2537">
              <w:t>s,</w:t>
            </w:r>
            <w:r w:rsidR="001C2537" w:rsidRPr="00BA48E8">
              <w:t xml:space="preserve"> care workers, administrative</w:t>
            </w:r>
            <w:r w:rsidR="001C2537">
              <w:t xml:space="preserve"> </w:t>
            </w:r>
            <w:r w:rsidR="001C2537" w:rsidRPr="00BA48E8">
              <w:t>level staff and various production workers</w:t>
            </w:r>
            <w:r w:rsidR="001C2537" w:rsidRPr="00CF6050">
              <w:t xml:space="preserve">. In general, SETAs did not drive such </w:t>
            </w:r>
            <w:proofErr w:type="spellStart"/>
            <w:r w:rsidR="001C2537" w:rsidRPr="00CF6050">
              <w:t>programmes</w:t>
            </w:r>
            <w:proofErr w:type="spellEnd"/>
            <w:r w:rsidR="001C2537" w:rsidRPr="00CF6050">
              <w:t xml:space="preserve"> through public FET colleges or universities. There were some examples of </w:t>
            </w:r>
            <w:proofErr w:type="spellStart"/>
            <w:r w:rsidR="001C2537" w:rsidRPr="00CF6050">
              <w:t>programmes</w:t>
            </w:r>
            <w:proofErr w:type="spellEnd"/>
            <w:r w:rsidR="001C2537" w:rsidRPr="00CF6050">
              <w:t xml:space="preserve"> for chefs, Early Childhood Development (ECD) practitioners and artisans that were delivered in part in collaboration with the colleges but these were small in number. These involved </w:t>
            </w:r>
            <w:proofErr w:type="spellStart"/>
            <w:r w:rsidR="001C2537" w:rsidRPr="00CF6050">
              <w:t>Nated-programmes</w:t>
            </w:r>
            <w:proofErr w:type="spellEnd"/>
            <w:r w:rsidR="001C2537" w:rsidRPr="00CF6050">
              <w:t xml:space="preserve"> which produced people with some theory related to a trade but not linked to occupational qualifications, and occupationally-directed </w:t>
            </w:r>
            <w:proofErr w:type="spellStart"/>
            <w:r w:rsidR="001C2537" w:rsidRPr="00CF6050">
              <w:t>programmes</w:t>
            </w:r>
            <w:proofErr w:type="spellEnd"/>
            <w:r w:rsidR="001C2537" w:rsidRPr="00CF6050">
              <w:t xml:space="preserve">, and in particular the practical or simulated practice component, which were mainly delivered </w:t>
            </w:r>
            <w:r w:rsidR="007154B4">
              <w:t xml:space="preserve">directly by employer in-house training units or </w:t>
            </w:r>
            <w:r w:rsidR="001C2537" w:rsidRPr="00CF6050">
              <w:t>via private providers.</w:t>
            </w:r>
          </w:p>
          <w:p w14:paraId="0BC05596" w14:textId="77777777" w:rsidR="001C2537" w:rsidRDefault="001C2537" w:rsidP="008C07CF">
            <w:r w:rsidRPr="00CF6050">
              <w:t xml:space="preserve">The limited role of FET colleges in delivering SETA-funded </w:t>
            </w:r>
            <w:proofErr w:type="spellStart"/>
            <w:r w:rsidRPr="00CF6050">
              <w:t>programmes</w:t>
            </w:r>
            <w:proofErr w:type="spellEnd"/>
            <w:r w:rsidRPr="00CF6050">
              <w:t xml:space="preserve"> was further noted by the Ministerial Committee on SETA Performance during </w:t>
            </w:r>
            <w:r w:rsidR="002B1590" w:rsidRPr="00CF6050">
              <w:t>NSDS II</w:t>
            </w:r>
            <w:r w:rsidRPr="00CF6050">
              <w:t xml:space="preserve">, which found that 95% of SETA discretionary funding was devoted to </w:t>
            </w:r>
            <w:proofErr w:type="spellStart"/>
            <w:r w:rsidRPr="00CF6050">
              <w:t>programmes</w:t>
            </w:r>
            <w:proofErr w:type="spellEnd"/>
            <w:r w:rsidRPr="00CF6050">
              <w:t xml:space="preserve"> delivered by private providers (DHET, 2012). Although there were examples of the colleges working with employers locally to provide a mix of theoretical and practical learning, these were not large in number. The general picture was one of colleges and </w:t>
            </w:r>
            <w:r w:rsidRPr="00CF6050">
              <w:lastRenderedPageBreak/>
              <w:t>universities focusing on the theory and the SETAs funding private providers (including employers with in-house training capacity) to deliver the skills needed by industry.</w:t>
            </w:r>
          </w:p>
          <w:p w14:paraId="6CA010FD" w14:textId="77777777" w:rsidR="007154B4" w:rsidRDefault="007154B4" w:rsidP="008C07CF">
            <w:r>
              <w:t>This challenge was further elaborated</w:t>
            </w:r>
            <w:r w:rsidR="00CF6050">
              <w:t xml:space="preserve"> in a major OECD report in South Africa (Reviews of national polices for education: South Africa, Feb 2009)</w:t>
            </w:r>
            <w:r>
              <w:t xml:space="preserve">. The report sets out how </w:t>
            </w:r>
            <w:r w:rsidR="00CF6050">
              <w:t>pub</w:t>
            </w:r>
            <w:r>
              <w:t xml:space="preserve">lic FET colleges mainly </w:t>
            </w:r>
            <w:r w:rsidR="008C07CF">
              <w:t>focused</w:t>
            </w:r>
            <w:r w:rsidR="00CF6050">
              <w:t xml:space="preserve"> on theory with little learner access to either good simulated training or actual workplaces where theory could be put into practice. The OECD suggested that this was a serious challenge that needed attention. </w:t>
            </w:r>
          </w:p>
          <w:p w14:paraId="53B8AE46" w14:textId="77777777" w:rsidR="00CF6050" w:rsidRDefault="00CF6050" w:rsidP="008C07CF">
            <w:r>
              <w:t xml:space="preserve">SETAs clearly were not viewing public FET colleges as delivery vehicles for </w:t>
            </w:r>
            <w:proofErr w:type="spellStart"/>
            <w:r>
              <w:t>programmes</w:t>
            </w:r>
            <w:proofErr w:type="spellEnd"/>
            <w:r>
              <w:t xml:space="preserve"> in their sectors.</w:t>
            </w:r>
          </w:p>
          <w:p w14:paraId="6F0290B6" w14:textId="77777777" w:rsidR="00CF6050" w:rsidRPr="00BA479B" w:rsidRDefault="00CF6050" w:rsidP="008C07CF"/>
        </w:tc>
      </w:tr>
      <w:tr w:rsidR="00D63130" w:rsidRPr="00F47C02" w14:paraId="3C471A27" w14:textId="77777777" w:rsidTr="00D63130">
        <w:tc>
          <w:tcPr>
            <w:tcW w:w="1980" w:type="dxa"/>
            <w:shd w:val="clear" w:color="auto" w:fill="D9D9D9" w:themeFill="background1" w:themeFillShade="D9"/>
          </w:tcPr>
          <w:p w14:paraId="71437004" w14:textId="77777777" w:rsidR="001C2537" w:rsidRPr="00251543" w:rsidRDefault="001C2537" w:rsidP="008C07CF">
            <w:r w:rsidRPr="00E56E92">
              <w:lastRenderedPageBreak/>
              <w:t>What middle-level skills were being delivered?</w:t>
            </w:r>
          </w:p>
        </w:tc>
        <w:tc>
          <w:tcPr>
            <w:tcW w:w="7370" w:type="dxa"/>
            <w:shd w:val="clear" w:color="auto" w:fill="auto"/>
          </w:tcPr>
          <w:p w14:paraId="432D4F46" w14:textId="77777777" w:rsidR="009C1735" w:rsidRPr="00BA48E8" w:rsidRDefault="000B6E53" w:rsidP="008C07CF">
            <w:r>
              <w:t xml:space="preserve">In 2010/11, </w:t>
            </w:r>
            <w:r w:rsidR="009C1735" w:rsidRPr="00CA1446">
              <w:t>SETAs enrolled 129</w:t>
            </w:r>
            <w:r>
              <w:t>,</w:t>
            </w:r>
            <w:r w:rsidR="009C1735" w:rsidRPr="00CA1446">
              <w:t xml:space="preserve">664 </w:t>
            </w:r>
            <w:r w:rsidRPr="00251543">
              <w:t xml:space="preserve">employed and unemployed </w:t>
            </w:r>
            <w:r w:rsidR="009C1735" w:rsidRPr="00CA1446">
              <w:t>learners</w:t>
            </w:r>
            <w:r>
              <w:t xml:space="preserve"> in </w:t>
            </w:r>
            <w:r w:rsidRPr="00251543">
              <w:t xml:space="preserve">occupationally-directed </w:t>
            </w:r>
            <w:proofErr w:type="spellStart"/>
            <w:r w:rsidRPr="00251543">
              <w:t>programmes</w:t>
            </w:r>
            <w:proofErr w:type="spellEnd"/>
            <w:r w:rsidR="009C1735" w:rsidRPr="00CA1446">
              <w:t xml:space="preserve">, exceeding their target of 83 533 by 46 131. For both employed and unemployed learners, SETAs certificated 120 700, exceeding their target of 52 336 by 68 364. The total number of workers registered in all SETA learning </w:t>
            </w:r>
            <w:proofErr w:type="spellStart"/>
            <w:r w:rsidR="009C1735" w:rsidRPr="00CA1446">
              <w:t>programmes</w:t>
            </w:r>
            <w:proofErr w:type="spellEnd"/>
            <w:r w:rsidR="009C1735" w:rsidRPr="00CA1446">
              <w:t xml:space="preserve"> was 80 514. The majority were registered in skills </w:t>
            </w:r>
            <w:proofErr w:type="spellStart"/>
            <w:r w:rsidR="009C1735" w:rsidRPr="00CA1446">
              <w:t>programmes</w:t>
            </w:r>
            <w:proofErr w:type="spellEnd"/>
            <w:r w:rsidR="009C1735" w:rsidRPr="00CA1446">
              <w:t xml:space="preserve">, with 53 839. Of the 81 592 workers who were certificated, 67 654 (over 90%) were certificated for skills </w:t>
            </w:r>
            <w:proofErr w:type="spellStart"/>
            <w:r w:rsidR="009C1735" w:rsidRPr="00CA1446">
              <w:t>programmes</w:t>
            </w:r>
            <w:proofErr w:type="spellEnd"/>
            <w:r w:rsidR="009C1735" w:rsidRPr="00CA1446">
              <w:t xml:space="preserve">. Only 95 were certificated for internship </w:t>
            </w:r>
            <w:proofErr w:type="spellStart"/>
            <w:r w:rsidR="009C1735" w:rsidRPr="00CA1446">
              <w:t>programmes</w:t>
            </w:r>
            <w:proofErr w:type="spellEnd"/>
            <w:r w:rsidR="009C1735" w:rsidRPr="00CA1446">
              <w:t xml:space="preserve">. The total number of unemployed persons registered for SETA learning </w:t>
            </w:r>
            <w:proofErr w:type="spellStart"/>
            <w:r w:rsidR="009C1735" w:rsidRPr="00CA1446">
              <w:t>programmes</w:t>
            </w:r>
            <w:proofErr w:type="spellEnd"/>
            <w:r w:rsidR="009C1735" w:rsidRPr="00CA1446">
              <w:t xml:space="preserve"> was 49 150, exceeding the 31 391 target. Over half of these </w:t>
            </w:r>
            <w:r w:rsidR="009C1735">
              <w:t>learners</w:t>
            </w:r>
            <w:r w:rsidR="009C1735" w:rsidRPr="00CA1446">
              <w:t xml:space="preserve"> were registered for </w:t>
            </w:r>
            <w:proofErr w:type="spellStart"/>
            <w:r w:rsidR="009C1735" w:rsidRPr="00CA1446">
              <w:t>learnerships</w:t>
            </w:r>
            <w:proofErr w:type="spellEnd"/>
            <w:r w:rsidR="009C1735" w:rsidRPr="00CA1446">
              <w:t xml:space="preserve">. Of the 39 108 unemployed persons who were certificated, the majority were certificated in </w:t>
            </w:r>
            <w:proofErr w:type="spellStart"/>
            <w:r w:rsidR="009C1735" w:rsidRPr="00CA1446">
              <w:t>learnerships</w:t>
            </w:r>
            <w:proofErr w:type="spellEnd"/>
            <w:r w:rsidR="009C1735" w:rsidRPr="00CA1446">
              <w:t xml:space="preserve"> and Skills </w:t>
            </w:r>
            <w:proofErr w:type="spellStart"/>
            <w:r w:rsidR="009C1735" w:rsidRPr="00CA1446">
              <w:t>programmes</w:t>
            </w:r>
            <w:proofErr w:type="spellEnd"/>
            <w:r w:rsidR="009C1735" w:rsidRPr="00CA1446">
              <w:t xml:space="preserve"> (DHET, 2013).</w:t>
            </w:r>
            <w:r w:rsidR="007154B4">
              <w:t xml:space="preserve"> It is difficult from data available for 2010/11 to establish which occupational skills were addressed. </w:t>
            </w:r>
            <w:r w:rsidR="00854E8A">
              <w:t>In the HSRC evaluation of NSDS II the researchers estimated the numbers of people achieving full occupational qualifications each year at some 45-50 000. Of these some 8-10 000 were achieving artisan status. This implies that at least 20-25% of qualifying people were in the middle level category.</w:t>
            </w:r>
          </w:p>
        </w:tc>
      </w:tr>
      <w:tr w:rsidR="009C1735" w:rsidRPr="00F47C02" w14:paraId="71A7C1EE" w14:textId="77777777" w:rsidTr="00D63130">
        <w:tc>
          <w:tcPr>
            <w:tcW w:w="1980" w:type="dxa"/>
            <w:shd w:val="clear" w:color="auto" w:fill="D9D9D9" w:themeFill="background1" w:themeFillShade="D9"/>
          </w:tcPr>
          <w:p w14:paraId="0EC32F53" w14:textId="77777777" w:rsidR="009C1735" w:rsidRPr="00E56E92" w:rsidRDefault="009C1735" w:rsidP="008C07CF">
            <w:r w:rsidRPr="00F82900">
              <w:t>To what extent were FET (now TVET) colleges working with SETAs and employers to deliver middle</w:t>
            </w:r>
            <w:r>
              <w:t>-</w:t>
            </w:r>
            <w:r w:rsidRPr="00F82900">
              <w:t>level skills?</w:t>
            </w:r>
          </w:p>
        </w:tc>
        <w:tc>
          <w:tcPr>
            <w:tcW w:w="7370" w:type="dxa"/>
            <w:shd w:val="clear" w:color="auto" w:fill="auto"/>
          </w:tcPr>
          <w:p w14:paraId="70FB3EDE" w14:textId="77777777" w:rsidR="009C1735" w:rsidRPr="00251543" w:rsidRDefault="009C1735" w:rsidP="008C07CF">
            <w:r>
              <w:t xml:space="preserve">To some extent, SETAs annual reports reviewed show that SETAs were involved in some form of training in various learning </w:t>
            </w:r>
            <w:proofErr w:type="spellStart"/>
            <w:r>
              <w:t>programmes</w:t>
            </w:r>
            <w:proofErr w:type="spellEnd"/>
            <w:r>
              <w:t xml:space="preserve"> including </w:t>
            </w:r>
            <w:proofErr w:type="spellStart"/>
            <w:r>
              <w:t>learnerships</w:t>
            </w:r>
            <w:proofErr w:type="spellEnd"/>
            <w:r>
              <w:t xml:space="preserve">, skills </w:t>
            </w:r>
            <w:proofErr w:type="spellStart"/>
            <w:r>
              <w:t>programmes</w:t>
            </w:r>
            <w:proofErr w:type="spellEnd"/>
            <w:r>
              <w:t xml:space="preserve">, internships for employed learners. ETDP for example, led training </w:t>
            </w:r>
            <w:proofErr w:type="spellStart"/>
            <w:r>
              <w:t>programmes</w:t>
            </w:r>
            <w:proofErr w:type="spellEnd"/>
            <w:r>
              <w:t xml:space="preserve"> that were rolled out in different provinces, involving provincial governments, private employers and FET colleges. MQA had joint partnerships with Mopani College, Foskor and </w:t>
            </w:r>
            <w:proofErr w:type="spellStart"/>
            <w:r>
              <w:t>Palabora</w:t>
            </w:r>
            <w:proofErr w:type="spellEnd"/>
            <w:r>
              <w:t xml:space="preserve"> Mining Company to train electricians, fitters, boilermakers and diesel mechanics. FP&amp;M had reported a partnership with </w:t>
            </w:r>
            <w:proofErr w:type="spellStart"/>
            <w:r>
              <w:t>Northlink</w:t>
            </w:r>
            <w:proofErr w:type="spellEnd"/>
            <w:r>
              <w:t xml:space="preserve"> College while INSETA had established a formal </w:t>
            </w:r>
            <w:r>
              <w:lastRenderedPageBreak/>
              <w:t xml:space="preserve">relationship with a select number of colleges in the Western Cape. However, an analysis of actual spending during NSDS II showed that only about 5% of available discretionary funds was used to fund university and public colleges to deliver such </w:t>
            </w:r>
            <w:proofErr w:type="spellStart"/>
            <w:r>
              <w:t>programmes</w:t>
            </w:r>
            <w:proofErr w:type="spellEnd"/>
            <w:r>
              <w:t xml:space="preserve"> and so the numbers involved were limited.</w:t>
            </w:r>
          </w:p>
        </w:tc>
      </w:tr>
    </w:tbl>
    <w:p w14:paraId="4BC7CE42" w14:textId="77777777" w:rsidR="00837496" w:rsidRDefault="00837496" w:rsidP="008C07CF"/>
    <w:p w14:paraId="4B408B20" w14:textId="77777777" w:rsidR="009C1735" w:rsidRPr="009C1735" w:rsidRDefault="009C1735" w:rsidP="008C07CF"/>
    <w:tbl>
      <w:tblPr>
        <w:tblStyle w:val="TableGrid"/>
        <w:tblW w:w="0" w:type="auto"/>
        <w:tblLook w:val="04A0" w:firstRow="1" w:lastRow="0" w:firstColumn="1" w:lastColumn="0" w:noHBand="0" w:noVBand="1"/>
      </w:tblPr>
      <w:tblGrid>
        <w:gridCol w:w="2022"/>
        <w:gridCol w:w="7328"/>
      </w:tblGrid>
      <w:tr w:rsidR="00837496" w:rsidRPr="00F47C02" w14:paraId="7EB0EDA7" w14:textId="77777777" w:rsidTr="00076022">
        <w:trPr>
          <w:tblHeader/>
        </w:trPr>
        <w:tc>
          <w:tcPr>
            <w:tcW w:w="9350" w:type="dxa"/>
            <w:gridSpan w:val="2"/>
            <w:shd w:val="clear" w:color="auto" w:fill="943634" w:themeFill="accent2" w:themeFillShade="BF"/>
          </w:tcPr>
          <w:p w14:paraId="0626199A" w14:textId="77777777" w:rsidR="00837496" w:rsidRPr="003F3AE8" w:rsidRDefault="00837496" w:rsidP="008C07CF">
            <w:r w:rsidRPr="005564EC">
              <w:t>Output 4.2.1.2</w:t>
            </w:r>
            <w:r w:rsidRPr="005564EC">
              <w:tab/>
              <w:t xml:space="preserve"> Projects are established in each sector to address middle-level skills</w:t>
            </w:r>
          </w:p>
        </w:tc>
      </w:tr>
      <w:tr w:rsidR="00837496" w:rsidRPr="00F47C02" w14:paraId="2F69F859" w14:textId="77777777" w:rsidTr="00076022">
        <w:tc>
          <w:tcPr>
            <w:tcW w:w="2022" w:type="dxa"/>
            <w:shd w:val="clear" w:color="auto" w:fill="D9D9D9" w:themeFill="background1" w:themeFillShade="D9"/>
          </w:tcPr>
          <w:p w14:paraId="649A0F29" w14:textId="77777777" w:rsidR="00837496" w:rsidRPr="00BA479B" w:rsidRDefault="00837496" w:rsidP="008C07CF">
            <w:r w:rsidRPr="00A36791">
              <w:t>How many SETAs had projects in place?</w:t>
            </w:r>
          </w:p>
        </w:tc>
        <w:tc>
          <w:tcPr>
            <w:tcW w:w="7328" w:type="dxa"/>
            <w:shd w:val="clear" w:color="auto" w:fill="auto"/>
          </w:tcPr>
          <w:p w14:paraId="05447C87" w14:textId="77777777" w:rsidR="00837496" w:rsidRPr="00BA479B" w:rsidRDefault="00837496" w:rsidP="008C07CF">
            <w:r>
              <w:t xml:space="preserve">The general approach across the SETAs was to advertise discretionary grants and invite applications. During the period of NSDS II there were very few grants given to public TVET colleges. Where projects were established and SETAs deliberately invited colleges to participate there were some projects that were in place that trained some of the targeted learners, generally unemployed or school leavers seeking to enter an occupational qualification. However, SETAs were not required to report separately on provision of training through public colleges, and so it is difficult to state exactly how many SETAs had projects in place. Several </w:t>
            </w:r>
            <w:r w:rsidRPr="000D6C4C">
              <w:t xml:space="preserve">annual reports show </w:t>
            </w:r>
            <w:r>
              <w:t>that some SETAs facilitated the development,</w:t>
            </w:r>
            <w:r w:rsidRPr="000D6C4C">
              <w:t xml:space="preserve"> submission and registration of qualifications, unit standards and learning </w:t>
            </w:r>
            <w:proofErr w:type="spellStart"/>
            <w:r w:rsidRPr="000D6C4C">
              <w:t>programmes</w:t>
            </w:r>
            <w:proofErr w:type="spellEnd"/>
            <w:r w:rsidRPr="000D6C4C">
              <w:t xml:space="preserve"> on the NQF.</w:t>
            </w:r>
            <w:r>
              <w:t xml:space="preserve"> They also approved </w:t>
            </w:r>
            <w:proofErr w:type="spellStart"/>
            <w:r>
              <w:t>programmes</w:t>
            </w:r>
            <w:proofErr w:type="spellEnd"/>
            <w:r>
              <w:t xml:space="preserve"> or accredited colleges for the delivery of occupationally-directed </w:t>
            </w:r>
            <w:proofErr w:type="spellStart"/>
            <w:r>
              <w:t>programmes</w:t>
            </w:r>
            <w:proofErr w:type="spellEnd"/>
            <w:r>
              <w:t xml:space="preserve">, though this does not necessarily indicate that such </w:t>
            </w:r>
            <w:proofErr w:type="spellStart"/>
            <w:r>
              <w:t>programmes</w:t>
            </w:r>
            <w:proofErr w:type="spellEnd"/>
            <w:r>
              <w:t xml:space="preserve"> were actually delivered.</w:t>
            </w:r>
          </w:p>
        </w:tc>
      </w:tr>
      <w:tr w:rsidR="00837496" w:rsidRPr="00F47C02" w14:paraId="66F0F251" w14:textId="77777777" w:rsidTr="00076022">
        <w:tc>
          <w:tcPr>
            <w:tcW w:w="2022" w:type="dxa"/>
            <w:shd w:val="clear" w:color="auto" w:fill="D9D9D9" w:themeFill="background1" w:themeFillShade="D9"/>
          </w:tcPr>
          <w:p w14:paraId="0F6935BE" w14:textId="77777777" w:rsidR="00837496" w:rsidRPr="00A36791" w:rsidRDefault="00837496" w:rsidP="008C07CF">
            <w:r w:rsidRPr="00BA48E8">
              <w:t>What was the monetary value</w:t>
            </w:r>
          </w:p>
        </w:tc>
        <w:tc>
          <w:tcPr>
            <w:tcW w:w="7328" w:type="dxa"/>
            <w:shd w:val="clear" w:color="auto" w:fill="auto"/>
          </w:tcPr>
          <w:p w14:paraId="523F7178" w14:textId="77777777" w:rsidR="00837496" w:rsidRDefault="00837496" w:rsidP="008C07CF">
            <w:r>
              <w:t xml:space="preserve">It is not possible to calculate the monetary value of SETA funded </w:t>
            </w:r>
            <w:proofErr w:type="spellStart"/>
            <w:r>
              <w:t>programmes</w:t>
            </w:r>
            <w:proofErr w:type="spellEnd"/>
            <w:r>
              <w:t xml:space="preserve"> delivered via TVET colleges. However, the total discretionary funds available during 2010 would have been around R10 billion (HRDC Report, 2013) and around 5% was spent in colleges and universities. So, it can be estimated that between R300 million-R500 million was spent</w:t>
            </w:r>
            <w:r w:rsidR="001D4B23">
              <w:t xml:space="preserve"> in the public education system including the </w:t>
            </w:r>
            <w:r>
              <w:t xml:space="preserve">in the </w:t>
            </w:r>
            <w:r w:rsidR="001D4B23">
              <w:t xml:space="preserve">TVET </w:t>
            </w:r>
            <w:r>
              <w:t>colleges.</w:t>
            </w:r>
          </w:p>
        </w:tc>
      </w:tr>
      <w:tr w:rsidR="00837496" w:rsidRPr="00F47C02" w14:paraId="1A77CAC2" w14:textId="77777777" w:rsidTr="00076022">
        <w:tc>
          <w:tcPr>
            <w:tcW w:w="2022" w:type="dxa"/>
            <w:shd w:val="clear" w:color="auto" w:fill="D9D9D9" w:themeFill="background1" w:themeFillShade="D9"/>
          </w:tcPr>
          <w:p w14:paraId="448CF294" w14:textId="77777777" w:rsidR="00837496" w:rsidRPr="00BA48E8" w:rsidRDefault="00837496" w:rsidP="008C07CF">
            <w:r w:rsidRPr="00BA48E8">
              <w:t>How many learners were benefitting?</w:t>
            </w:r>
          </w:p>
        </w:tc>
        <w:tc>
          <w:tcPr>
            <w:tcW w:w="7328" w:type="dxa"/>
            <w:shd w:val="clear" w:color="auto" w:fill="auto"/>
          </w:tcPr>
          <w:p w14:paraId="6E42F9D8" w14:textId="77777777" w:rsidR="00837496" w:rsidRDefault="00837496" w:rsidP="008C07CF">
            <w:r w:rsidRPr="00AE15C6">
              <w:t xml:space="preserve">Data </w:t>
            </w:r>
            <w:r>
              <w:t xml:space="preserve">is </w:t>
            </w:r>
            <w:r w:rsidRPr="00AE15C6">
              <w:t>not available</w:t>
            </w:r>
            <w:r>
              <w:t xml:space="preserve"> to determine the number of learners funded to be trained via TVET colleges in 2010. However, by applying the 5% maximum spend to the numbers trained it is possible to estimate the numbers by averaging the spend per learners, then divide </w:t>
            </w:r>
            <w:r w:rsidR="0004233B">
              <w:t xml:space="preserve">R </w:t>
            </w:r>
            <w:r>
              <w:t>500 </w:t>
            </w:r>
            <w:r w:rsidR="0004233B">
              <w:t>million</w:t>
            </w:r>
            <w:r>
              <w:t xml:space="preserve"> by the amount of spent per learner. If on average, the Artisan learner grant funding is R46 450, then numbers would have been about 10 764 in 2010.</w:t>
            </w:r>
            <w:r w:rsidR="0004233B">
              <w:t xml:space="preserve"> This is a just a guesstimate because learners could have been enrolled in various learning </w:t>
            </w:r>
            <w:proofErr w:type="spellStart"/>
            <w:r w:rsidR="0004233B">
              <w:t>programmes</w:t>
            </w:r>
            <w:proofErr w:type="spellEnd"/>
            <w:r w:rsidR="0004233B">
              <w:t xml:space="preserve"> with differing costs.</w:t>
            </w:r>
            <w:r w:rsidR="00E01827">
              <w:t xml:space="preserve"> </w:t>
            </w:r>
          </w:p>
        </w:tc>
      </w:tr>
    </w:tbl>
    <w:p w14:paraId="00AA2E8D" w14:textId="77777777" w:rsidR="009B7A97" w:rsidRDefault="009B7A97" w:rsidP="008C07CF"/>
    <w:p w14:paraId="1BC881EF" w14:textId="77777777" w:rsidR="00023BCF" w:rsidRPr="00C46413" w:rsidRDefault="00DE1EAC" w:rsidP="008C07CF">
      <w:r w:rsidRPr="00C46413">
        <w:t>SUMMARY</w:t>
      </w:r>
    </w:p>
    <w:p w14:paraId="762D75D4" w14:textId="77777777" w:rsidR="00963CD4" w:rsidRPr="00D33625" w:rsidRDefault="00555762" w:rsidP="008C07CF">
      <w:r>
        <w:t xml:space="preserve">It is evident from the findings that public TVET colleges contribution to skills development was primarily delivering N-courses. </w:t>
      </w:r>
      <w:r w:rsidR="008E29B7">
        <w:t>However,</w:t>
      </w:r>
      <w:r>
        <w:t xml:space="preserve"> their focus </w:t>
      </w:r>
      <w:r w:rsidR="00FB4C6A">
        <w:t>on the delivery of</w:t>
      </w:r>
      <w:r>
        <w:t xml:space="preserve"> occupationally-directed </w:t>
      </w:r>
      <w:proofErr w:type="spellStart"/>
      <w:r>
        <w:t>programmes</w:t>
      </w:r>
      <w:proofErr w:type="spellEnd"/>
      <w:r>
        <w:t xml:space="preserve"> </w:t>
      </w:r>
      <w:r w:rsidR="00FB4C6A">
        <w:t xml:space="preserve">accredited </w:t>
      </w:r>
      <w:r>
        <w:t>and funded by SETAs</w:t>
      </w:r>
      <w:r w:rsidR="00FB4C6A">
        <w:t xml:space="preserve"> seems very minimal although there are cases where this was happening</w:t>
      </w:r>
      <w:r>
        <w:t xml:space="preserve">. </w:t>
      </w:r>
      <w:r w:rsidR="008E29B7">
        <w:t>Most</w:t>
      </w:r>
      <w:r>
        <w:t xml:space="preserve"> SETA funded </w:t>
      </w:r>
      <w:proofErr w:type="spellStart"/>
      <w:r>
        <w:t>programmes</w:t>
      </w:r>
      <w:proofErr w:type="spellEnd"/>
      <w:r>
        <w:t>, about 95%, were provided by private providers</w:t>
      </w:r>
      <w:r w:rsidR="001F68C5">
        <w:t xml:space="preserve"> or by employers who had their own in-hous</w:t>
      </w:r>
      <w:r w:rsidR="009562F5">
        <w:t>e</w:t>
      </w:r>
      <w:r w:rsidR="001F68C5">
        <w:t xml:space="preserve"> training capacity</w:t>
      </w:r>
      <w:r>
        <w:t xml:space="preserve">. Material resources reviewed confirmed that some SETAs were involved in some form of partnerships with colleges and firms. </w:t>
      </w:r>
      <w:proofErr w:type="spellStart"/>
      <w:r>
        <w:t>AgriSETA</w:t>
      </w:r>
      <w:proofErr w:type="spellEnd"/>
      <w:r>
        <w:t xml:space="preserve"> tended to work with the </w:t>
      </w:r>
      <w:r w:rsidR="008E29B7">
        <w:t>agricultural</w:t>
      </w:r>
      <w:r>
        <w:t xml:space="preserve"> colleges rather than the </w:t>
      </w:r>
      <w:r w:rsidR="00831F3D">
        <w:t xml:space="preserve">TVET </w:t>
      </w:r>
      <w:r>
        <w:t xml:space="preserve">colleges. </w:t>
      </w:r>
      <w:r w:rsidR="00EB04BF">
        <w:t>However,</w:t>
      </w:r>
      <w:r w:rsidR="00C46413">
        <w:t xml:space="preserve"> in general the level of delivery of skills through public TVET colleges and universities was low. </w:t>
      </w:r>
    </w:p>
    <w:p w14:paraId="490E40B6" w14:textId="77777777" w:rsidR="00E01827" w:rsidRDefault="00E01827" w:rsidP="008C07CF"/>
    <w:p w14:paraId="42D55D8F" w14:textId="77777777" w:rsidR="00F70F80" w:rsidRPr="00C46413" w:rsidRDefault="008B599D" w:rsidP="008C07CF">
      <w:r w:rsidRPr="00C46413">
        <w:t>Outcome 4.2.2</w:t>
      </w:r>
      <w:r w:rsidR="002D131C" w:rsidRPr="00C46413">
        <w:t xml:space="preserve">: </w:t>
      </w:r>
      <w:r w:rsidR="00F70F80" w:rsidRPr="00C46413">
        <w:t xml:space="preserve">10,000 artisans per year qualify with relevant skills and find employment </w:t>
      </w:r>
    </w:p>
    <w:p w14:paraId="0E730FD1" w14:textId="77777777" w:rsidR="001119FC" w:rsidRDefault="00CC5FFC" w:rsidP="008C07CF">
      <w:r>
        <w:t xml:space="preserve">Artisan development was a priority for the government since it was discovered that numbers had dropped to an </w:t>
      </w:r>
      <w:r w:rsidR="008E29B7">
        <w:t>all-time</w:t>
      </w:r>
      <w:r>
        <w:t xml:space="preserve"> low of 4500 in 2006. The JIPSA target, adopted by the HRD Council when it took over the work of JIPSA was to achieve 10 000 per year. </w:t>
      </w:r>
      <w:r w:rsidR="00DC6F8C">
        <w:t>This was subsequently increased during the processes leading to the adoption of the National Development Plan (NDP) to 30 000 per year by 2030.</w:t>
      </w:r>
    </w:p>
    <w:p w14:paraId="6F3288BC" w14:textId="77777777" w:rsidR="000D26C2" w:rsidRDefault="00CC5FFC" w:rsidP="008C07CF">
      <w:r>
        <w:t xml:space="preserve">It was always acknowledged that to achieve this number there could not be a reliance on the state to deliver and fund such numbers. The cost of training an artisan was estimated to be around R400 000, and the benefits to employers would be substantial if they could rely on such numbers being trained. There had to be co-funding and partnerships put in place. Some would be public/private, some public/public, but there was a </w:t>
      </w:r>
      <w:r w:rsidR="008E29B7">
        <w:t>recognition</w:t>
      </w:r>
      <w:r>
        <w:t xml:space="preserve"> that all artisans are produced by a combination of theoretical and practical training and on the </w:t>
      </w:r>
      <w:r w:rsidR="00C46413">
        <w:t>j</w:t>
      </w:r>
      <w:r>
        <w:t xml:space="preserve">ob work experience. </w:t>
      </w:r>
    </w:p>
    <w:p w14:paraId="00B47CE7" w14:textId="77777777" w:rsidR="009B7A97" w:rsidRDefault="009B7A97" w:rsidP="008C07CF"/>
    <w:tbl>
      <w:tblPr>
        <w:tblStyle w:val="TableGrid"/>
        <w:tblW w:w="0" w:type="auto"/>
        <w:tblLook w:val="04A0" w:firstRow="1" w:lastRow="0" w:firstColumn="1" w:lastColumn="0" w:noHBand="0" w:noVBand="1"/>
      </w:tblPr>
      <w:tblGrid>
        <w:gridCol w:w="2022"/>
        <w:gridCol w:w="7328"/>
      </w:tblGrid>
      <w:tr w:rsidR="00837496" w:rsidRPr="00F47C02" w14:paraId="501B59D1" w14:textId="77777777" w:rsidTr="00076022">
        <w:trPr>
          <w:tblHeader/>
        </w:trPr>
        <w:tc>
          <w:tcPr>
            <w:tcW w:w="9350" w:type="dxa"/>
            <w:gridSpan w:val="2"/>
            <w:shd w:val="clear" w:color="auto" w:fill="943634" w:themeFill="accent2" w:themeFillShade="BF"/>
          </w:tcPr>
          <w:p w14:paraId="27284CE9" w14:textId="77777777" w:rsidR="00837496" w:rsidRPr="003F3AE8" w:rsidRDefault="00837496" w:rsidP="008C07CF">
            <w:r w:rsidRPr="00C46413">
              <w:t>Output 4.2.2.1: SETAs establish projects and partnerships to enable relevant number of artisan for their sectors to be trained, to qualify and become work-ready</w:t>
            </w:r>
          </w:p>
        </w:tc>
      </w:tr>
      <w:tr w:rsidR="00837496" w:rsidRPr="00F47C02" w14:paraId="19FD0A21" w14:textId="77777777" w:rsidTr="00076022">
        <w:tc>
          <w:tcPr>
            <w:tcW w:w="2022" w:type="dxa"/>
            <w:shd w:val="clear" w:color="auto" w:fill="D9D9D9" w:themeFill="background1" w:themeFillShade="D9"/>
          </w:tcPr>
          <w:p w14:paraId="44517DBB" w14:textId="77777777" w:rsidR="00837496" w:rsidRPr="00BA479B" w:rsidRDefault="00837496" w:rsidP="008C07CF">
            <w:r w:rsidRPr="00C46413">
              <w:t>How many SETAs had partnerships?</w:t>
            </w:r>
          </w:p>
        </w:tc>
        <w:tc>
          <w:tcPr>
            <w:tcW w:w="7328" w:type="dxa"/>
            <w:shd w:val="clear" w:color="auto" w:fill="auto"/>
          </w:tcPr>
          <w:p w14:paraId="05514627" w14:textId="77777777" w:rsidR="000B6E53" w:rsidRPr="00BA479B" w:rsidRDefault="00837496" w:rsidP="008C07CF">
            <w:r w:rsidRPr="00821E70">
              <w:t xml:space="preserve">In her response to parliamentary questions, the DG of DHET reported that a lot more SETAs had been successful in forming working relationships with colleges, albeit the inconsistencies in their activities (PMG, 2010). Several reports indicate that the number of actual projects specifically delivering artisans was extremely small (National Treasury 2013; </w:t>
            </w:r>
            <w:r w:rsidRPr="002A6F58">
              <w:t>Presidency (2010)</w:t>
            </w:r>
            <w:r>
              <w:t>.</w:t>
            </w:r>
          </w:p>
        </w:tc>
      </w:tr>
      <w:tr w:rsidR="00837496" w:rsidRPr="00F47C02" w14:paraId="4DB32E19" w14:textId="77777777" w:rsidTr="00076022">
        <w:tc>
          <w:tcPr>
            <w:tcW w:w="2022" w:type="dxa"/>
            <w:shd w:val="clear" w:color="auto" w:fill="D9D9D9" w:themeFill="background1" w:themeFillShade="D9"/>
          </w:tcPr>
          <w:p w14:paraId="1B7A642A" w14:textId="77777777" w:rsidR="00837496" w:rsidRPr="00C46413" w:rsidRDefault="00837496" w:rsidP="008C07CF">
            <w:r w:rsidRPr="00C46413">
              <w:lastRenderedPageBreak/>
              <w:t>How many artisans were being trained in these partnerships?</w:t>
            </w:r>
          </w:p>
        </w:tc>
        <w:tc>
          <w:tcPr>
            <w:tcW w:w="7328" w:type="dxa"/>
            <w:shd w:val="clear" w:color="auto" w:fill="auto"/>
          </w:tcPr>
          <w:p w14:paraId="4161605F" w14:textId="77777777" w:rsidR="00E01827" w:rsidRDefault="00837496" w:rsidP="008C07CF">
            <w:r w:rsidRPr="00821E70">
              <w:t xml:space="preserve">The </w:t>
            </w:r>
            <w:r w:rsidR="005860E2">
              <w:t>National Artisan Development Strategy (2013)</w:t>
            </w:r>
            <w:r w:rsidRPr="00821E70">
              <w:t xml:space="preserve"> suggests that </w:t>
            </w:r>
            <w:r w:rsidR="005860E2">
              <w:t xml:space="preserve">23,200 </w:t>
            </w:r>
            <w:r w:rsidR="008C07CF">
              <w:t>apprentices</w:t>
            </w:r>
            <w:r w:rsidR="005860E2">
              <w:t xml:space="preserve"> were undergoing training in 2010/11.</w:t>
            </w:r>
            <w:r w:rsidRPr="00821E70">
              <w:t xml:space="preserve"> </w:t>
            </w:r>
            <w:r w:rsidR="005860E2" w:rsidRPr="00E01827">
              <w:t>Although data pertaining to partnerships is not immediately available, in 2011/12 when there were just over 24,000 apprentices enrolled, about 70% where in the SETA system.</w:t>
            </w:r>
            <w:r>
              <w:t xml:space="preserve"> </w:t>
            </w:r>
          </w:p>
          <w:p w14:paraId="4FBAF06E" w14:textId="77777777" w:rsidR="00E01827" w:rsidRPr="00E01827" w:rsidRDefault="00E01827" w:rsidP="008C07CF">
            <w:pPr>
              <w:rPr>
                <w:i/>
              </w:rPr>
            </w:pPr>
            <w:r w:rsidRPr="00E01827">
              <w:t xml:space="preserve">Partnerships were a catalyst for the realization of the skills development for the economy.  They were to serve as a </w:t>
            </w:r>
          </w:p>
          <w:p w14:paraId="51A69695" w14:textId="77777777" w:rsidR="00E01827" w:rsidRPr="00E01827" w:rsidRDefault="00E01827" w:rsidP="008C07CF">
            <w:r w:rsidRPr="00E01827">
              <w:t xml:space="preserve">platform on which accurate information about skills needs could be generated and intervention </w:t>
            </w:r>
            <w:proofErr w:type="spellStart"/>
            <w:r w:rsidRPr="00E01827">
              <w:t>programmes</w:t>
            </w:r>
            <w:proofErr w:type="spellEnd"/>
            <w:r w:rsidRPr="00E01827">
              <w:t xml:space="preserve"> initiated. One mechanism that aimed to remove the constraints inherited from the structural, economic and political problems of the past took the form of the Accelerated and Shared Growth Initiative for South Africa (ASGISA), a focused and high-level initiative for providing overarching economic development directives. A related initiative – the Joint Initiative on Priority Skills Acquisition (JIPSA) – focused specifically on technical skills development. JIPSA identified artisans as a specific occupational category that experienced significant levels of skills decline. A shortage of 40 000 artisans was identified and a target of training 50 000 artisans was set to be reached by 2010 (</w:t>
            </w:r>
            <w:proofErr w:type="spellStart"/>
            <w:r w:rsidRPr="00E01827">
              <w:t>Mbatha</w:t>
            </w:r>
            <w:proofErr w:type="spellEnd"/>
            <w:r w:rsidRPr="00E01827">
              <w:t>, 2014).</w:t>
            </w:r>
          </w:p>
          <w:p w14:paraId="7EEBBE2C" w14:textId="77777777" w:rsidR="00E01827" w:rsidRDefault="00E01827" w:rsidP="008C07CF">
            <w:r w:rsidRPr="00E01827">
              <w:t xml:space="preserve">Accordingly, partnerships had to assist colleges to locate work integrated learning opportunities, workplace placement opportunities, and lecturer exposure to the industry and new technologies (The Presidency, 2010). Such partnerships would lead to the establishment of projects that would accelerate the production of artisans and absorption into the </w:t>
            </w:r>
            <w:proofErr w:type="spellStart"/>
            <w:r w:rsidRPr="00E01827">
              <w:t>labour</w:t>
            </w:r>
            <w:proofErr w:type="spellEnd"/>
            <w:r w:rsidRPr="00E01827">
              <w:t xml:space="preserve"> market, and their progress tracked and recorded.</w:t>
            </w:r>
            <w:r w:rsidRPr="004F2D6B">
              <w:t xml:space="preserve"> </w:t>
            </w:r>
          </w:p>
          <w:p w14:paraId="34EB9B57" w14:textId="77777777" w:rsidR="000B6E53" w:rsidRPr="00821E70" w:rsidRDefault="00837496" w:rsidP="008C07CF">
            <w:r>
              <w:t xml:space="preserve">Many colleges delivered </w:t>
            </w:r>
            <w:proofErr w:type="spellStart"/>
            <w:r>
              <w:t>Nated-</w:t>
            </w:r>
            <w:r w:rsidRPr="00821E70">
              <w:t>programmes</w:t>
            </w:r>
            <w:proofErr w:type="spellEnd"/>
            <w:r w:rsidRPr="00821E70">
              <w:t xml:space="preserve"> that were an important contribution to the theoretica</w:t>
            </w:r>
            <w:r>
              <w:t>l</w:t>
            </w:r>
            <w:r w:rsidRPr="00821E70">
              <w:t xml:space="preserve"> component in some of the artisan trades, but these were treated as entry qualifications to an apprenticeship</w:t>
            </w:r>
            <w:r>
              <w:t>,</w:t>
            </w:r>
            <w:r w:rsidRPr="00821E70">
              <w:t xml:space="preserve"> not integrated into an apprenticeship or </w:t>
            </w:r>
            <w:proofErr w:type="spellStart"/>
            <w:r w:rsidRPr="00821E70">
              <w:t>learnership</w:t>
            </w:r>
            <w:proofErr w:type="spellEnd"/>
            <w:r w:rsidR="005860E2">
              <w:t xml:space="preserve">. </w:t>
            </w:r>
            <w:r>
              <w:t>However, without the 18 months of employment with an employer and the pract</w:t>
            </w:r>
            <w:r w:rsidR="005860E2">
              <w:t>i</w:t>
            </w:r>
            <w:r>
              <w:t xml:space="preserve">cal / workshop component, it is not possible to qualify as an artisan and so it is not correct to conflate </w:t>
            </w:r>
            <w:proofErr w:type="spellStart"/>
            <w:r>
              <w:t>Nated</w:t>
            </w:r>
            <w:proofErr w:type="spellEnd"/>
            <w:r>
              <w:t xml:space="preserve">-courses with artisan training. At best the N-courses provided initial introduction to trades and enabled those qualifying to apply for semi-skilled work. </w:t>
            </w:r>
            <w:proofErr w:type="spellStart"/>
            <w:r>
              <w:t>Nated</w:t>
            </w:r>
            <w:proofErr w:type="spellEnd"/>
            <w:r>
              <w:t xml:space="preserve"> qualifications were also viewed by employers as a pre-requisite to entering a </w:t>
            </w:r>
            <w:proofErr w:type="spellStart"/>
            <w:r>
              <w:t>learnership</w:t>
            </w:r>
            <w:proofErr w:type="spellEnd"/>
            <w:r>
              <w:t xml:space="preserve"> or apprenticeship. In that sense </w:t>
            </w:r>
            <w:proofErr w:type="spellStart"/>
            <w:r>
              <w:t>Nated</w:t>
            </w:r>
            <w:proofErr w:type="spellEnd"/>
            <w:r>
              <w:t xml:space="preserve"> </w:t>
            </w:r>
            <w:proofErr w:type="spellStart"/>
            <w:r>
              <w:t>programmes</w:t>
            </w:r>
            <w:proofErr w:type="spellEnd"/>
            <w:r>
              <w:t xml:space="preserve"> played a role in helping people to enter artisan </w:t>
            </w:r>
            <w:proofErr w:type="spellStart"/>
            <w:r>
              <w:t>programmes</w:t>
            </w:r>
            <w:proofErr w:type="spellEnd"/>
            <w:r>
              <w:t>, but played a limited role in the development of competencies required to be demonstrated in the trade test.</w:t>
            </w:r>
          </w:p>
        </w:tc>
      </w:tr>
      <w:tr w:rsidR="00837496" w:rsidRPr="00F47C02" w14:paraId="06C21C25" w14:textId="77777777" w:rsidTr="00076022">
        <w:tc>
          <w:tcPr>
            <w:tcW w:w="2022" w:type="dxa"/>
            <w:shd w:val="clear" w:color="auto" w:fill="D9D9D9" w:themeFill="background1" w:themeFillShade="D9"/>
          </w:tcPr>
          <w:p w14:paraId="6DFC5896" w14:textId="77777777" w:rsidR="00837496" w:rsidRPr="00C46413" w:rsidRDefault="00837496" w:rsidP="008C07CF">
            <w:r w:rsidRPr="00C46413">
              <w:t xml:space="preserve">To what extent were artisan projects </w:t>
            </w:r>
            <w:r w:rsidRPr="00C46413">
              <w:lastRenderedPageBreak/>
              <w:t>established, with plans and being reported on?</w:t>
            </w:r>
          </w:p>
        </w:tc>
        <w:tc>
          <w:tcPr>
            <w:tcW w:w="7328" w:type="dxa"/>
            <w:shd w:val="clear" w:color="auto" w:fill="auto"/>
          </w:tcPr>
          <w:p w14:paraId="04DF54BA" w14:textId="77777777" w:rsidR="00837496" w:rsidRPr="00821E70" w:rsidRDefault="00837496" w:rsidP="008C07CF">
            <w:r w:rsidRPr="00C46413">
              <w:lastRenderedPageBreak/>
              <w:t>Some of the SETA</w:t>
            </w:r>
            <w:r>
              <w:t>s</w:t>
            </w:r>
            <w:r w:rsidRPr="00C46413">
              <w:t xml:space="preserve"> reports show that there were projects initiated and reported on. </w:t>
            </w:r>
            <w:r w:rsidRPr="00F47C02">
              <w:t>However,</w:t>
            </w:r>
            <w:r w:rsidRPr="00C46413">
              <w:t xml:space="preserve"> the extent to which these were undertaken c</w:t>
            </w:r>
            <w:r>
              <w:t xml:space="preserve">ould </w:t>
            </w:r>
            <w:r w:rsidRPr="00C46413">
              <w:t xml:space="preserve">not be validated due to limited data sources. Given the very small </w:t>
            </w:r>
            <w:r w:rsidRPr="00C46413">
              <w:lastRenderedPageBreak/>
              <w:t>number of projects specifically established to deliver artisan training via public TVET colleges</w:t>
            </w:r>
            <w:r>
              <w:t xml:space="preserve">, the </w:t>
            </w:r>
            <w:r w:rsidRPr="00C46413">
              <w:t>likel</w:t>
            </w:r>
            <w:r>
              <w:t>ihood</w:t>
            </w:r>
            <w:r w:rsidRPr="00C46413">
              <w:t xml:space="preserve"> </w:t>
            </w:r>
            <w:r>
              <w:t xml:space="preserve">is </w:t>
            </w:r>
            <w:r w:rsidRPr="00C46413">
              <w:t xml:space="preserve">that very few had actual plans </w:t>
            </w:r>
            <w:r>
              <w:t>to report against.</w:t>
            </w:r>
            <w:r w:rsidRPr="00C46413">
              <w:t xml:space="preserve"> </w:t>
            </w:r>
            <w:r>
              <w:t xml:space="preserve"> </w:t>
            </w:r>
            <w:r w:rsidR="00E01827">
              <w:t>Most</w:t>
            </w:r>
            <w:r>
              <w:t xml:space="preserve"> SETAs gave grant</w:t>
            </w:r>
            <w:r w:rsidR="005860E2">
              <w:t>s</w:t>
            </w:r>
            <w:r>
              <w:t xml:space="preserve"> to employers to recruit a</w:t>
            </w:r>
            <w:r w:rsidR="005860E2">
              <w:t>pprentices</w:t>
            </w:r>
            <w:r>
              <w:t xml:space="preserve"> and to contract their own training provider for the practical /workshop </w:t>
            </w:r>
            <w:r w:rsidR="008C07CF">
              <w:t>component</w:t>
            </w:r>
            <w:r>
              <w:t xml:space="preserve">.  There was a serious gap and inadequacy in SETA reporting on artisan training. This lead to some serious problems occurring. For example, the Services SETA put some 5000 people through artisan training during the period of </w:t>
            </w:r>
            <w:r w:rsidR="002B1590">
              <w:t>NSDS II</w:t>
            </w:r>
            <w:r>
              <w:t xml:space="preserve">, but at the end of the period some </w:t>
            </w:r>
            <w:r w:rsidRPr="003D1409">
              <w:t>3000</w:t>
            </w:r>
            <w:r>
              <w:t xml:space="preserve"> were not certified </w:t>
            </w:r>
            <w:r w:rsidR="00FE6D77">
              <w:t>and a</w:t>
            </w:r>
            <w:r w:rsidR="005860E2">
              <w:t xml:space="preserve"> </w:t>
            </w:r>
            <w:r>
              <w:t>range of problems occurred that were not identified and addressed. Lack of or inadequate monitoring and reporting clearly played a role in this.</w:t>
            </w:r>
          </w:p>
        </w:tc>
      </w:tr>
      <w:tr w:rsidR="00837496" w:rsidRPr="00F47C02" w14:paraId="09225CA0" w14:textId="77777777" w:rsidTr="00076022">
        <w:tc>
          <w:tcPr>
            <w:tcW w:w="2022" w:type="dxa"/>
            <w:shd w:val="clear" w:color="auto" w:fill="D9D9D9" w:themeFill="background1" w:themeFillShade="D9"/>
          </w:tcPr>
          <w:p w14:paraId="5FBE703C" w14:textId="77777777" w:rsidR="00837496" w:rsidRPr="00C46413" w:rsidRDefault="00837496" w:rsidP="008C07CF">
            <w:r w:rsidRPr="00C46413">
              <w:lastRenderedPageBreak/>
              <w:t>How many artisans were being trained?</w:t>
            </w:r>
          </w:p>
        </w:tc>
        <w:tc>
          <w:tcPr>
            <w:tcW w:w="7328" w:type="dxa"/>
            <w:shd w:val="clear" w:color="auto" w:fill="auto"/>
          </w:tcPr>
          <w:p w14:paraId="27E4A1DD" w14:textId="77777777" w:rsidR="00837496" w:rsidRPr="00C46413" w:rsidRDefault="00FE6D77" w:rsidP="008C07CF">
            <w:r w:rsidRPr="00821E70">
              <w:t xml:space="preserve">The </w:t>
            </w:r>
            <w:r>
              <w:t>Draft National Artisan Development Strategy (2013)</w:t>
            </w:r>
            <w:r w:rsidRPr="00821E70">
              <w:t xml:space="preserve"> suggests that </w:t>
            </w:r>
            <w:r>
              <w:t xml:space="preserve">23,200 </w:t>
            </w:r>
            <w:r w:rsidR="008C07CF">
              <w:t>apprentices</w:t>
            </w:r>
            <w:r>
              <w:t xml:space="preserve"> were undergoing training in 2010/11.</w:t>
            </w:r>
            <w:r w:rsidRPr="00821E70">
              <w:t xml:space="preserve"> </w:t>
            </w:r>
            <w:r w:rsidR="00837496" w:rsidRPr="003D1409">
              <w:t xml:space="preserve">The Artisan </w:t>
            </w:r>
            <w:proofErr w:type="spellStart"/>
            <w:r w:rsidR="00837496" w:rsidRPr="003D1409">
              <w:t>programme</w:t>
            </w:r>
            <w:proofErr w:type="spellEnd"/>
            <w:r w:rsidR="00837496" w:rsidRPr="003D1409">
              <w:t xml:space="preserve"> EPR for National Treasury indicates that in 2005/6 the number of artisans being trained had declined to 4500 a year. In response, an artisan project was established by JIPSA which increased the focus on artisan training. Training of artisans increased substantially </w:t>
            </w:r>
            <w:r w:rsidR="00C15417">
              <w:t>the number of artisans passing trade tests from</w:t>
            </w:r>
            <w:r w:rsidR="00837496" w:rsidRPr="003D1409">
              <w:t xml:space="preserve"> 5 600 (average based on 2000-2009 figures) to 10 </w:t>
            </w:r>
            <w:r w:rsidR="00837496">
              <w:t>0</w:t>
            </w:r>
            <w:r w:rsidR="00837496" w:rsidRPr="003D1409">
              <w:t xml:space="preserve">00 (average based on 2006-2009 figures). A step-change in output was anticipated in 2009 as higher levels of new entrants to artisans-related </w:t>
            </w:r>
            <w:proofErr w:type="spellStart"/>
            <w:r w:rsidR="00837496" w:rsidRPr="003D1409">
              <w:t>programmes</w:t>
            </w:r>
            <w:proofErr w:type="spellEnd"/>
            <w:r w:rsidR="00837496" w:rsidRPr="003D1409">
              <w:t xml:space="preserve"> complete</w:t>
            </w:r>
            <w:r w:rsidR="00837496">
              <w:t>d</w:t>
            </w:r>
            <w:r w:rsidR="00837496" w:rsidRPr="003D1409">
              <w:t xml:space="preserve"> their </w:t>
            </w:r>
            <w:proofErr w:type="spellStart"/>
            <w:r w:rsidR="00837496" w:rsidRPr="003D1409">
              <w:t>programmes</w:t>
            </w:r>
            <w:proofErr w:type="spellEnd"/>
            <w:r w:rsidR="00837496" w:rsidRPr="003D1409">
              <w:t xml:space="preserve"> (JIPSA Report).</w:t>
            </w:r>
          </w:p>
        </w:tc>
      </w:tr>
    </w:tbl>
    <w:p w14:paraId="06482897" w14:textId="77777777" w:rsidR="00837496" w:rsidRDefault="00837496" w:rsidP="008C07CF"/>
    <w:p w14:paraId="1949E0C1" w14:textId="77777777" w:rsidR="00837496" w:rsidRPr="00A93786" w:rsidRDefault="00837496" w:rsidP="008C07CF"/>
    <w:p w14:paraId="424012EC" w14:textId="77777777" w:rsidR="00531ED9" w:rsidRDefault="00531ED9" w:rsidP="008C07CF"/>
    <w:tbl>
      <w:tblPr>
        <w:tblStyle w:val="TableGrid"/>
        <w:tblW w:w="0" w:type="auto"/>
        <w:tblLook w:val="04A0" w:firstRow="1" w:lastRow="0" w:firstColumn="1" w:lastColumn="0" w:noHBand="0" w:noVBand="1"/>
      </w:tblPr>
      <w:tblGrid>
        <w:gridCol w:w="2022"/>
        <w:gridCol w:w="7328"/>
      </w:tblGrid>
      <w:tr w:rsidR="00837496" w:rsidRPr="00F47C02" w14:paraId="61666D39" w14:textId="77777777" w:rsidTr="00076022">
        <w:trPr>
          <w:tblHeader/>
        </w:trPr>
        <w:tc>
          <w:tcPr>
            <w:tcW w:w="9350" w:type="dxa"/>
            <w:gridSpan w:val="2"/>
            <w:shd w:val="clear" w:color="auto" w:fill="943634" w:themeFill="accent2" w:themeFillShade="BF"/>
          </w:tcPr>
          <w:p w14:paraId="2F22B42A" w14:textId="77777777" w:rsidR="00837496" w:rsidRPr="003F3AE8" w:rsidRDefault="00837496" w:rsidP="008C07CF">
            <w:r w:rsidRPr="003D1409">
              <w:t xml:space="preserve">Output 4.2.2.2: National Artisan Development Project developed by JIPSA is planned, managed and reported on, with interventions made where blockages occur  </w:t>
            </w:r>
          </w:p>
        </w:tc>
      </w:tr>
      <w:tr w:rsidR="00837496" w:rsidRPr="00F47C02" w14:paraId="38FFE5A9" w14:textId="77777777" w:rsidTr="00076022">
        <w:tc>
          <w:tcPr>
            <w:tcW w:w="2022" w:type="dxa"/>
            <w:shd w:val="clear" w:color="auto" w:fill="D9D9D9" w:themeFill="background1" w:themeFillShade="D9"/>
          </w:tcPr>
          <w:p w14:paraId="317905DD" w14:textId="77777777" w:rsidR="00837496" w:rsidRPr="00BA479B" w:rsidRDefault="00837496" w:rsidP="008C07CF">
            <w:r w:rsidRPr="00C46413">
              <w:rPr>
                <w:lang w:val="en-ZA"/>
              </w:rPr>
              <w:t>To what extent was the artisan project established, with plans and being reported on?</w:t>
            </w:r>
          </w:p>
        </w:tc>
        <w:tc>
          <w:tcPr>
            <w:tcW w:w="7328" w:type="dxa"/>
            <w:shd w:val="clear" w:color="auto" w:fill="auto"/>
          </w:tcPr>
          <w:p w14:paraId="0AE2C72E" w14:textId="77777777" w:rsidR="000B6E53" w:rsidRPr="008D55A7" w:rsidRDefault="00837496" w:rsidP="008C07CF">
            <w:r w:rsidRPr="000537CC">
              <w:t xml:space="preserve">JIPSA was established to deal with the supply of priority skills which were stagnating the growth of the economy. It functioned as a Task Team from 2006 to 2009 and made significant strides in increasing the number of skilled personnel. Its initiatives were reportedly successful in increasing the number of </w:t>
            </w:r>
            <w:r w:rsidR="00432202" w:rsidRPr="000537CC">
              <w:t>a</w:t>
            </w:r>
            <w:r w:rsidR="00432202">
              <w:t>pprentices</w:t>
            </w:r>
            <w:r w:rsidR="00432202" w:rsidRPr="000537CC">
              <w:t xml:space="preserve"> </w:t>
            </w:r>
            <w:r w:rsidRPr="000537CC">
              <w:t>in training</w:t>
            </w:r>
            <w:r w:rsidR="00432202">
              <w:t xml:space="preserve"> to become artisans</w:t>
            </w:r>
            <w:r w:rsidRPr="000537CC">
              <w:t xml:space="preserve">. When the JIPSA close out report was produced in 2010 both the HRD Council and the </w:t>
            </w:r>
            <w:r>
              <w:t xml:space="preserve">DHET </w:t>
            </w:r>
            <w:r w:rsidRPr="000537CC">
              <w:t xml:space="preserve">took its recommendations very seriously. The HRD Council continued to take an active interest, and the Department established the National Artisan </w:t>
            </w:r>
            <w:proofErr w:type="spellStart"/>
            <w:r w:rsidRPr="000537CC">
              <w:t>Programme</w:t>
            </w:r>
            <w:proofErr w:type="spellEnd"/>
            <w:r w:rsidRPr="000537CC">
              <w:t xml:space="preserve"> at </w:t>
            </w:r>
            <w:proofErr w:type="spellStart"/>
            <w:r w:rsidRPr="000537CC">
              <w:t>Indlela</w:t>
            </w:r>
            <w:proofErr w:type="spellEnd"/>
            <w:r w:rsidRPr="000537CC">
              <w:t xml:space="preserve">. So already by 2011, and the start of </w:t>
            </w:r>
            <w:r w:rsidR="002B1590">
              <w:t>NSDS III</w:t>
            </w:r>
            <w:r w:rsidRPr="000537CC">
              <w:t xml:space="preserve">, it can be stated that the Department were managing the transition of the national artisan </w:t>
            </w:r>
            <w:proofErr w:type="spellStart"/>
            <w:r w:rsidRPr="000537CC">
              <w:t>programme</w:t>
            </w:r>
            <w:proofErr w:type="spellEnd"/>
            <w:r w:rsidRPr="000537CC">
              <w:t xml:space="preserve"> from JIPSA to DHET.</w:t>
            </w:r>
            <w:r w:rsidR="00C15417">
              <w:t xml:space="preserve"> </w:t>
            </w:r>
          </w:p>
        </w:tc>
      </w:tr>
    </w:tbl>
    <w:p w14:paraId="4C1A55D7" w14:textId="77777777" w:rsidR="00837496" w:rsidRPr="00C46413" w:rsidRDefault="00837496" w:rsidP="008C07CF"/>
    <w:p w14:paraId="295C03F4" w14:textId="77777777" w:rsidR="00674EAD" w:rsidRDefault="00591BFE" w:rsidP="008C07CF">
      <w:r w:rsidRPr="00C46413">
        <w:rPr>
          <w:rFonts w:eastAsia="Times New Roman"/>
          <w:lang w:val="en-ZA"/>
        </w:rPr>
        <w:t xml:space="preserve"> </w:t>
      </w:r>
      <w:r w:rsidR="004009F2">
        <w:t>S</w:t>
      </w:r>
      <w:r w:rsidR="00E6183D">
        <w:t>UMMARY</w:t>
      </w:r>
    </w:p>
    <w:p w14:paraId="4A10823B" w14:textId="77777777" w:rsidR="004009F2" w:rsidRPr="00C46413" w:rsidRDefault="001F3D7C" w:rsidP="008C07CF">
      <w:pPr>
        <w:rPr>
          <w:rFonts w:cstheme="minorHAnsi"/>
        </w:rPr>
      </w:pPr>
      <w:r>
        <w:t>As e</w:t>
      </w:r>
      <w:r w:rsidR="007F1F72">
        <w:t>vidence</w:t>
      </w:r>
      <w:r>
        <w:t xml:space="preserve"> above shows, partnerships proved to be a viable </w:t>
      </w:r>
      <w:r w:rsidR="007F1F72">
        <w:t>enable</w:t>
      </w:r>
      <w:r>
        <w:t>r</w:t>
      </w:r>
      <w:r w:rsidR="007F1F72">
        <w:t xml:space="preserve"> to skills development. </w:t>
      </w:r>
      <w:r>
        <w:t xml:space="preserve">The </w:t>
      </w:r>
      <w:r w:rsidR="00E72BE1">
        <w:t xml:space="preserve">number of artisans produced </w:t>
      </w:r>
      <w:r w:rsidR="00831F3D">
        <w:t xml:space="preserve">between 2006 and 2009 </w:t>
      </w:r>
      <w:r w:rsidR="00E72BE1">
        <w:t xml:space="preserve">doubled, from 4 500 to </w:t>
      </w:r>
      <w:r w:rsidR="00831F3D">
        <w:t xml:space="preserve">over </w:t>
      </w:r>
      <w:r w:rsidR="00C8327E">
        <w:t xml:space="preserve">between 8000 and </w:t>
      </w:r>
      <w:r w:rsidR="00831F3D">
        <w:t>10 000</w:t>
      </w:r>
      <w:r w:rsidR="00E72BE1">
        <w:t xml:space="preserve">, courtesy to the active involvement of multiple interest parties; business, </w:t>
      </w:r>
      <w:proofErr w:type="spellStart"/>
      <w:r w:rsidR="00E72BE1">
        <w:t>labour</w:t>
      </w:r>
      <w:proofErr w:type="spellEnd"/>
      <w:r w:rsidR="00E72BE1">
        <w:t>, government</w:t>
      </w:r>
      <w:r w:rsidR="00DD52E9">
        <w:t>, and the NSF</w:t>
      </w:r>
      <w:r w:rsidR="00E72BE1">
        <w:t xml:space="preserve"> and </w:t>
      </w:r>
      <w:r w:rsidR="00DD52E9">
        <w:t>SETAs</w:t>
      </w:r>
      <w:r w:rsidR="00E72BE1">
        <w:t xml:space="preserve">. </w:t>
      </w:r>
      <w:r w:rsidR="008E29B7">
        <w:t>H</w:t>
      </w:r>
      <w:r w:rsidR="008E29B7">
        <w:rPr>
          <w:rFonts w:cstheme="minorHAnsi"/>
        </w:rPr>
        <w:t>owever</w:t>
      </w:r>
      <w:r w:rsidR="00C82B21" w:rsidRPr="00C82B21">
        <w:rPr>
          <w:rFonts w:cstheme="minorHAnsi"/>
        </w:rPr>
        <w:t xml:space="preserve"> only </w:t>
      </w:r>
      <w:r w:rsidR="00DD52E9">
        <w:rPr>
          <w:rFonts w:cstheme="minorHAnsi"/>
        </w:rPr>
        <w:t xml:space="preserve">around </w:t>
      </w:r>
      <w:r w:rsidR="00C82B21" w:rsidRPr="00C82B21">
        <w:rPr>
          <w:rFonts w:cstheme="minorHAnsi"/>
        </w:rPr>
        <w:t xml:space="preserve">1% of the </w:t>
      </w:r>
      <w:proofErr w:type="spellStart"/>
      <w:r w:rsidR="00C82B21" w:rsidRPr="00C82B21">
        <w:rPr>
          <w:rFonts w:cstheme="minorHAnsi"/>
        </w:rPr>
        <w:t>learnerships</w:t>
      </w:r>
      <w:proofErr w:type="spellEnd"/>
      <w:r w:rsidR="00C82B21" w:rsidRPr="00C82B21">
        <w:rPr>
          <w:rFonts w:cstheme="minorHAnsi"/>
        </w:rPr>
        <w:t xml:space="preserve"> and appr</w:t>
      </w:r>
      <w:r w:rsidR="00BE4F24">
        <w:rPr>
          <w:rFonts w:cstheme="minorHAnsi"/>
        </w:rPr>
        <w:t>e</w:t>
      </w:r>
      <w:r w:rsidR="00C82B21" w:rsidRPr="00C82B21">
        <w:rPr>
          <w:rFonts w:cstheme="minorHAnsi"/>
        </w:rPr>
        <w:t>ntice</w:t>
      </w:r>
      <w:r w:rsidR="00DD52E9">
        <w:rPr>
          <w:rFonts w:cstheme="minorHAnsi"/>
        </w:rPr>
        <w:t>s</w:t>
      </w:r>
      <w:r w:rsidR="00C82B21" w:rsidRPr="00C82B21">
        <w:rPr>
          <w:rFonts w:cstheme="minorHAnsi"/>
        </w:rPr>
        <w:t xml:space="preserve"> </w:t>
      </w:r>
      <w:r w:rsidR="00DD52E9">
        <w:rPr>
          <w:rFonts w:cstheme="minorHAnsi"/>
        </w:rPr>
        <w:t xml:space="preserve">were </w:t>
      </w:r>
      <w:r w:rsidR="00C82B21" w:rsidRPr="00C82B21">
        <w:rPr>
          <w:rFonts w:cstheme="minorHAnsi"/>
        </w:rPr>
        <w:t>being trained at public TVET colleges</w:t>
      </w:r>
      <w:r w:rsidR="000024FA">
        <w:rPr>
          <w:rFonts w:cstheme="minorHAnsi"/>
        </w:rPr>
        <w:t xml:space="preserve">, and so was the share of funding between the private skills training providers and public TVET colleges, 95% and 5% </w:t>
      </w:r>
      <w:r w:rsidR="00BE0FD8">
        <w:rPr>
          <w:rFonts w:cstheme="minorHAnsi"/>
        </w:rPr>
        <w:t>respectively</w:t>
      </w:r>
      <w:r w:rsidR="00C82B21" w:rsidRPr="00C82B21">
        <w:rPr>
          <w:rFonts w:cstheme="minorHAnsi"/>
        </w:rPr>
        <w:t xml:space="preserve">. </w:t>
      </w:r>
      <w:r w:rsidR="00C8327E">
        <w:rPr>
          <w:rFonts w:cstheme="minorHAnsi"/>
        </w:rPr>
        <w:t xml:space="preserve">The national artisan project was transferred from </w:t>
      </w:r>
      <w:proofErr w:type="spellStart"/>
      <w:r w:rsidR="00C8327E">
        <w:rPr>
          <w:rFonts w:cstheme="minorHAnsi"/>
        </w:rPr>
        <w:t>Jipsa</w:t>
      </w:r>
      <w:proofErr w:type="spellEnd"/>
      <w:r w:rsidR="00C8327E">
        <w:rPr>
          <w:rFonts w:cstheme="minorHAnsi"/>
        </w:rPr>
        <w:t xml:space="preserve"> to the HRDC and then to DHET at </w:t>
      </w:r>
      <w:proofErr w:type="spellStart"/>
      <w:r w:rsidR="00C8327E">
        <w:rPr>
          <w:rFonts w:cstheme="minorHAnsi"/>
        </w:rPr>
        <w:t>Indlela</w:t>
      </w:r>
      <w:proofErr w:type="spellEnd"/>
      <w:r w:rsidR="00C8327E">
        <w:rPr>
          <w:rFonts w:cstheme="minorHAnsi"/>
        </w:rPr>
        <w:t xml:space="preserve"> and so the momentum built up in artisan development was maintained.</w:t>
      </w:r>
    </w:p>
    <w:p w14:paraId="7660DC0F" w14:textId="77777777" w:rsidR="0070583E" w:rsidRPr="00E54E6C" w:rsidRDefault="0070583E" w:rsidP="008C07CF">
      <w:pPr>
        <w:rPr>
          <w:sz w:val="22"/>
        </w:rPr>
      </w:pPr>
      <w:r w:rsidRPr="00E54E6C">
        <w:t>Outcome 4.2.3: High level national scarce skills needs are being addressed by work ready graduates from higher education institutions</w:t>
      </w:r>
    </w:p>
    <w:p w14:paraId="7CE7285A" w14:textId="77777777" w:rsidR="005F01CD" w:rsidRDefault="00EA5726" w:rsidP="008C07CF">
      <w:r>
        <w:t xml:space="preserve">Universities educate and provide people with high skills for the </w:t>
      </w:r>
      <w:proofErr w:type="spellStart"/>
      <w:r>
        <w:t>labour</w:t>
      </w:r>
      <w:proofErr w:type="spellEnd"/>
      <w:r>
        <w:t xml:space="preserve"> market, and are </w:t>
      </w:r>
      <w:r w:rsidR="008E29B7">
        <w:t>a dominant producer of knowledge</w:t>
      </w:r>
      <w:r>
        <w:t xml:space="preserve"> (DHET, 2011)</w:t>
      </w:r>
      <w:r w:rsidR="00902291">
        <w:t>.</w:t>
      </w:r>
      <w:r>
        <w:t xml:space="preserve"> While emphasis had been on middle-level skills, the </w:t>
      </w:r>
      <w:proofErr w:type="spellStart"/>
      <w:r>
        <w:t>labour</w:t>
      </w:r>
      <w:proofErr w:type="spellEnd"/>
      <w:r>
        <w:t xml:space="preserve"> market was also experiencing </w:t>
      </w:r>
      <w:r w:rsidR="008E29B7">
        <w:t>chronic</w:t>
      </w:r>
      <w:r>
        <w:t xml:space="preserve"> shortage in high-level skills, especial</w:t>
      </w:r>
      <w:r w:rsidR="009E25D6">
        <w:t>ly in the field of engineering. In 2010, the public higher education sector</w:t>
      </w:r>
      <w:r w:rsidR="00902291">
        <w:t xml:space="preserve"> </w:t>
      </w:r>
      <w:r w:rsidR="009E25D6">
        <w:t xml:space="preserve">enrolled about 900 000 </w:t>
      </w:r>
      <w:r w:rsidR="00DD52E9">
        <w:t xml:space="preserve">students </w:t>
      </w:r>
      <w:r w:rsidR="009E25D6">
        <w:t xml:space="preserve">and only 28% of these were enrolled in </w:t>
      </w:r>
      <w:r w:rsidR="005F01CD">
        <w:t xml:space="preserve">Science Engineering and </w:t>
      </w:r>
      <w:r w:rsidR="008E29B7">
        <w:t>Technology</w:t>
      </w:r>
      <w:r w:rsidR="005F01CD">
        <w:t xml:space="preserve"> (</w:t>
      </w:r>
      <w:r w:rsidR="009E25D6">
        <w:t>SET</w:t>
      </w:r>
      <w:r w:rsidR="005F01CD">
        <w:t>)</w:t>
      </w:r>
      <w:r w:rsidR="009E25D6">
        <w:t xml:space="preserve"> </w:t>
      </w:r>
      <w:proofErr w:type="spellStart"/>
      <w:r w:rsidR="009E25D6">
        <w:t>programmes</w:t>
      </w:r>
      <w:proofErr w:type="spellEnd"/>
      <w:r w:rsidR="009E25D6">
        <w:t xml:space="preserve"> compared to 41 % for humanities-related enrolment. </w:t>
      </w:r>
      <w:r w:rsidR="00902291">
        <w:t>Out of 153 325 under</w:t>
      </w:r>
      <w:r w:rsidR="00775418">
        <w:t>graduates who passed their studies, only 42 760 students studied</w:t>
      </w:r>
      <w:r w:rsidR="005F01CD">
        <w:t xml:space="preserve"> SET </w:t>
      </w:r>
      <w:r w:rsidR="008E29B7">
        <w:t>courses.</w:t>
      </w:r>
      <w:r w:rsidR="009E25D6" w:rsidRPr="009E25D6">
        <w:t xml:space="preserve"> </w:t>
      </w:r>
      <w:r w:rsidR="009E25D6">
        <w:t>Across all major fields of study, about 1 421 obtained their PhD degrees.</w:t>
      </w:r>
      <w:r w:rsidR="00775418">
        <w:t xml:space="preserve"> </w:t>
      </w:r>
      <w:r w:rsidR="00CB626F">
        <w:t>It is worth noting that u</w:t>
      </w:r>
      <w:r w:rsidR="00D77267">
        <w:t>niversity enrolment in 2011 increased to 937</w:t>
      </w:r>
      <w:r w:rsidR="00CB626F">
        <w:t> </w:t>
      </w:r>
      <w:r w:rsidR="00D77267">
        <w:t>455</w:t>
      </w:r>
      <w:r w:rsidR="00CB626F">
        <w:t xml:space="preserve">. </w:t>
      </w:r>
      <w:r w:rsidR="008C07CF">
        <w:t xml:space="preserve">Of these, 82% were undergraduate students, 5% were at </w:t>
      </w:r>
      <w:proofErr w:type="gramStart"/>
      <w:r w:rsidR="008C07CF">
        <w:t>masters</w:t>
      </w:r>
      <w:proofErr w:type="gramEnd"/>
      <w:r w:rsidR="008C07CF">
        <w:t xml:space="preserve"> level and just above 1% were registered for PhD </w:t>
      </w:r>
      <w:proofErr w:type="spellStart"/>
      <w:r w:rsidR="008C07CF">
        <w:t>programmes</w:t>
      </w:r>
      <w:proofErr w:type="spellEnd"/>
      <w:r w:rsidR="008C07CF">
        <w:t xml:space="preserve"> (White Paper, 2013). </w:t>
      </w:r>
      <w:r w:rsidR="00CB626F">
        <w:t>Between 2000 and 2010, the average annual increase in enrolment for doctoral or PhD was 6.1%, which was well above 4.6% of all post-graduate enrolment combined (Green Paper</w:t>
      </w:r>
      <w:r w:rsidR="00053384">
        <w:t>,</w:t>
      </w:r>
      <w:r w:rsidR="00CB626F">
        <w:t xml:space="preserve"> 2012). </w:t>
      </w:r>
      <w:r w:rsidR="005F01CD">
        <w:t xml:space="preserve">The low enrolment and success rate </w:t>
      </w:r>
      <w:r w:rsidR="00902291">
        <w:t xml:space="preserve">was highlighted as a cause </w:t>
      </w:r>
      <w:r w:rsidR="008E29B7">
        <w:t>for</w:t>
      </w:r>
      <w:r w:rsidR="00902291">
        <w:t xml:space="preserve"> concern and there was a call for the system</w:t>
      </w:r>
      <w:r w:rsidR="005F01CD">
        <w:t>:</w:t>
      </w:r>
    </w:p>
    <w:p w14:paraId="4B03FD1B" w14:textId="77777777" w:rsidR="00674EAD" w:rsidRPr="0091620C" w:rsidRDefault="00A510C7" w:rsidP="00EB0DED">
      <w:pPr>
        <w:ind w:left="567"/>
        <w:rPr>
          <w:i/>
        </w:rPr>
      </w:pPr>
      <w:r w:rsidRPr="0091620C">
        <w:rPr>
          <w:i/>
        </w:rPr>
        <w:t xml:space="preserve">to function in coherent and coordinated manner with broad common objectives </w:t>
      </w:r>
      <w:r w:rsidR="008E29B7" w:rsidRPr="0091620C">
        <w:rPr>
          <w:i/>
        </w:rPr>
        <w:t>aligned</w:t>
      </w:r>
      <w:r w:rsidRPr="0091620C">
        <w:rPr>
          <w:i/>
        </w:rPr>
        <w:t xml:space="preserve"> to national</w:t>
      </w:r>
      <w:r w:rsidR="00FA4D88" w:rsidRPr="0091620C">
        <w:rPr>
          <w:i/>
        </w:rPr>
        <w:t xml:space="preserve"> priorities. The National System and Innovation, the higher and</w:t>
      </w:r>
      <w:r w:rsidRPr="0091620C">
        <w:rPr>
          <w:i/>
        </w:rPr>
        <w:t xml:space="preserve"> further education system, State Owned Entities and private industries should create a common overarching framework to address pressing challenges (NDP, </w:t>
      </w:r>
      <w:r w:rsidR="000B6582" w:rsidRPr="0091620C">
        <w:rPr>
          <w:i/>
        </w:rPr>
        <w:t xml:space="preserve">2011). </w:t>
      </w:r>
    </w:p>
    <w:p w14:paraId="7311CAC0" w14:textId="77777777" w:rsidR="000B6582" w:rsidRDefault="005F01CD" w:rsidP="008C07CF">
      <w:r>
        <w:t>SETAs were therefore expected to play a proactive role of identifying su</w:t>
      </w:r>
      <w:r w:rsidR="00902291">
        <w:t xml:space="preserve">ch skills, document them in their </w:t>
      </w:r>
      <w:r>
        <w:t xml:space="preserve">SSPs and initiate </w:t>
      </w:r>
      <w:proofErr w:type="spellStart"/>
      <w:r>
        <w:t>programmes</w:t>
      </w:r>
      <w:proofErr w:type="spellEnd"/>
      <w:r>
        <w:t xml:space="preserve"> to produce the skills level requirements </w:t>
      </w:r>
      <w:r w:rsidR="00A83BFD">
        <w:t>wi</w:t>
      </w:r>
      <w:r>
        <w:t>thin their sectors.</w:t>
      </w:r>
      <w:r w:rsidR="00DD52E9">
        <w:t xml:space="preserve"> It was not the task of the skills system to replicate the work of universities but rather to </w:t>
      </w:r>
      <w:proofErr w:type="spellStart"/>
      <w:r w:rsidR="00DD52E9">
        <w:t>analyse</w:t>
      </w:r>
      <w:proofErr w:type="spellEnd"/>
      <w:r w:rsidR="00DD52E9">
        <w:t xml:space="preserve"> the supply challenges and to intervene to address them and improve the absorption level of graduates into the </w:t>
      </w:r>
      <w:proofErr w:type="spellStart"/>
      <w:r w:rsidR="00DD52E9">
        <w:t>labour</w:t>
      </w:r>
      <w:proofErr w:type="spellEnd"/>
      <w:r w:rsidR="00DD52E9">
        <w:t xml:space="preserve"> market. </w:t>
      </w:r>
    </w:p>
    <w:p w14:paraId="0C9C0EB4" w14:textId="77777777" w:rsidR="00837496" w:rsidRDefault="00837496" w:rsidP="008C07CF"/>
    <w:tbl>
      <w:tblPr>
        <w:tblStyle w:val="TableGrid"/>
        <w:tblW w:w="0" w:type="auto"/>
        <w:tblLook w:val="04A0" w:firstRow="1" w:lastRow="0" w:firstColumn="1" w:lastColumn="0" w:noHBand="0" w:noVBand="1"/>
      </w:tblPr>
      <w:tblGrid>
        <w:gridCol w:w="2022"/>
        <w:gridCol w:w="7328"/>
      </w:tblGrid>
      <w:tr w:rsidR="00837496" w:rsidRPr="00F47C02" w14:paraId="6E4F6A0A" w14:textId="77777777" w:rsidTr="00076022">
        <w:trPr>
          <w:tblHeader/>
        </w:trPr>
        <w:tc>
          <w:tcPr>
            <w:tcW w:w="9350" w:type="dxa"/>
            <w:gridSpan w:val="2"/>
            <w:shd w:val="clear" w:color="auto" w:fill="943634" w:themeFill="accent2" w:themeFillShade="BF"/>
          </w:tcPr>
          <w:p w14:paraId="59ECD90B" w14:textId="77777777" w:rsidR="00837496" w:rsidRPr="003F3AE8" w:rsidRDefault="00837496" w:rsidP="008C07CF">
            <w:r w:rsidRPr="00E56E92">
              <w:t>Output 4.2.3.1:  Sectors Skills Plans identify the supply challenges in relation to high-level skills gaps and set out strategies to addressing them</w:t>
            </w:r>
          </w:p>
        </w:tc>
      </w:tr>
      <w:tr w:rsidR="00837496" w:rsidRPr="00F47C02" w14:paraId="11C29D1D" w14:textId="77777777" w:rsidTr="00076022">
        <w:tc>
          <w:tcPr>
            <w:tcW w:w="2022" w:type="dxa"/>
            <w:shd w:val="clear" w:color="auto" w:fill="D9D9D9" w:themeFill="background1" w:themeFillShade="D9"/>
          </w:tcPr>
          <w:p w14:paraId="77A3E2D0" w14:textId="77777777" w:rsidR="00837496" w:rsidRPr="00BA479B" w:rsidRDefault="00837496" w:rsidP="008C07CF">
            <w:r w:rsidRPr="00E56E92">
              <w:t>How many SETAs had identified high level skills?</w:t>
            </w:r>
          </w:p>
        </w:tc>
        <w:tc>
          <w:tcPr>
            <w:tcW w:w="7328" w:type="dxa"/>
            <w:shd w:val="clear" w:color="auto" w:fill="auto"/>
          </w:tcPr>
          <w:p w14:paraId="65413607" w14:textId="77777777" w:rsidR="00837496" w:rsidRPr="00BA479B" w:rsidRDefault="0023232E" w:rsidP="008C07CF">
            <w:r>
              <w:t xml:space="preserve">The SETA SSPs were fashioned around the identification of scarce skills within the sectors. Where high level skills gaps existed, these would be identified through the SSP. </w:t>
            </w:r>
            <w:r w:rsidR="00837496" w:rsidRPr="00E56E92">
              <w:t xml:space="preserve">Almost all </w:t>
            </w:r>
            <w:r w:rsidR="00837496">
              <w:t xml:space="preserve">SETAs </w:t>
            </w:r>
            <w:r w:rsidR="00837496" w:rsidRPr="00E56E92">
              <w:t>had identified high-level skills</w:t>
            </w:r>
            <w:r w:rsidR="00837496">
              <w:t xml:space="preserve"> within their sectors</w:t>
            </w:r>
            <w:r w:rsidR="00837496" w:rsidRPr="00E56E92">
              <w:t xml:space="preserve">. For example, </w:t>
            </w:r>
            <w:proofErr w:type="spellStart"/>
            <w:r w:rsidR="00837496" w:rsidRPr="00E56E92">
              <w:t>Fasset</w:t>
            </w:r>
            <w:proofErr w:type="spellEnd"/>
            <w:r w:rsidR="00837496" w:rsidRPr="00E56E92">
              <w:t xml:space="preserve"> identified accountants and </w:t>
            </w:r>
            <w:proofErr w:type="spellStart"/>
            <w:r w:rsidR="00837496" w:rsidRPr="00E56E92">
              <w:t>MerSETA</w:t>
            </w:r>
            <w:proofErr w:type="spellEnd"/>
            <w:r w:rsidR="00837496" w:rsidRPr="00E56E92">
              <w:t xml:space="preserve"> identified engineers, H&amp;WSETA doctors and veterinary surgeons</w:t>
            </w:r>
            <w:r w:rsidR="00837496">
              <w:t xml:space="preserve">, ETDP </w:t>
            </w:r>
            <w:proofErr w:type="spellStart"/>
            <w:r w:rsidR="00837496">
              <w:t>Maths</w:t>
            </w:r>
            <w:proofErr w:type="spellEnd"/>
            <w:r w:rsidR="00837496">
              <w:t xml:space="preserve"> and Science </w:t>
            </w:r>
            <w:r w:rsidR="00837496" w:rsidRPr="008D55A7">
              <w:t>teachers</w:t>
            </w:r>
            <w:r w:rsidR="00837496">
              <w:t>,</w:t>
            </w:r>
            <w:r w:rsidR="00837496" w:rsidRPr="00E56E92">
              <w:t xml:space="preserve"> etc. In some </w:t>
            </w:r>
            <w:r w:rsidR="00837496" w:rsidRPr="00F47C02">
              <w:t>cases,</w:t>
            </w:r>
            <w:r w:rsidR="00837496" w:rsidRPr="00E56E92">
              <w:t xml:space="preserve"> clear strategies were identified to address the shortages. Either </w:t>
            </w:r>
            <w:proofErr w:type="spellStart"/>
            <w:r w:rsidR="00837496" w:rsidRPr="00E56E92">
              <w:t>learnerships</w:t>
            </w:r>
            <w:proofErr w:type="spellEnd"/>
            <w:r w:rsidR="00837496" w:rsidRPr="00E56E92">
              <w:t xml:space="preserve"> were developed and supported, or internships or in some cases bursary schemes were implemented. </w:t>
            </w:r>
            <w:r w:rsidR="00837496" w:rsidRPr="00F47C02">
              <w:t>However,</w:t>
            </w:r>
            <w:r w:rsidR="00837496" w:rsidRPr="00E56E92">
              <w:t xml:space="preserve"> </w:t>
            </w:r>
            <w:r w:rsidR="00837496">
              <w:t>t</w:t>
            </w:r>
            <w:r w:rsidR="00837496" w:rsidRPr="00E56E92">
              <w:t>he amount of work done by SETAs via</w:t>
            </w:r>
            <w:r w:rsidR="00837496">
              <w:t>,</w:t>
            </w:r>
            <w:r w:rsidR="00837496" w:rsidRPr="00E56E92">
              <w:t xml:space="preserve"> or in partnership with</w:t>
            </w:r>
            <w:r w:rsidR="00837496">
              <w:t>,</w:t>
            </w:r>
            <w:r w:rsidR="00837496" w:rsidRPr="00E56E92">
              <w:t xml:space="preserve"> universities was limited</w:t>
            </w:r>
            <w:r w:rsidR="00837496">
              <w:t xml:space="preserve"> due to emphasis and concentration on the production of medium-</w:t>
            </w:r>
            <w:r w:rsidR="00837496" w:rsidRPr="00E56E92">
              <w:t xml:space="preserve">level </w:t>
            </w:r>
            <w:r w:rsidR="00837496">
              <w:t>skills.</w:t>
            </w:r>
          </w:p>
        </w:tc>
      </w:tr>
      <w:tr w:rsidR="00837496" w:rsidRPr="00F47C02" w14:paraId="1B8BC481" w14:textId="77777777" w:rsidTr="00076022">
        <w:tc>
          <w:tcPr>
            <w:tcW w:w="2022" w:type="dxa"/>
            <w:shd w:val="clear" w:color="auto" w:fill="D9D9D9" w:themeFill="background1" w:themeFillShade="D9"/>
          </w:tcPr>
          <w:p w14:paraId="72120A98" w14:textId="77777777" w:rsidR="00837496" w:rsidRPr="00E56E92" w:rsidRDefault="00837496" w:rsidP="008C07CF">
            <w:r w:rsidRPr="00E56E92">
              <w:t>How many were supporting interventions to address them?</w:t>
            </w:r>
          </w:p>
        </w:tc>
        <w:tc>
          <w:tcPr>
            <w:tcW w:w="7328" w:type="dxa"/>
            <w:shd w:val="clear" w:color="auto" w:fill="auto"/>
          </w:tcPr>
          <w:p w14:paraId="392D57BD" w14:textId="77777777" w:rsidR="00837496" w:rsidRPr="00E56E92" w:rsidRDefault="00837496" w:rsidP="008C07CF">
            <w:r w:rsidRPr="004B1014">
              <w:t xml:space="preserve">There were indications from the annual reports that SETAs had special arrangements with universities. One such partnership involved the W&amp;R Seta, which focused on senior management who aspired to move up to executive positions. The nature of data capturing in the various reports made it difficult to provide </w:t>
            </w:r>
            <w:r>
              <w:t xml:space="preserve">a </w:t>
            </w:r>
            <w:r w:rsidRPr="004B1014">
              <w:t>consolidate number.</w:t>
            </w:r>
            <w:r>
              <w:t xml:space="preserve"> One of the challenges of involving universities was the process followed by SETAs and the NSF in making funds available. Most SETAs published grant windows and criteria and invited applications for grants. </w:t>
            </w:r>
            <w:r w:rsidRPr="008D55A7">
              <w:t>Applications</w:t>
            </w:r>
            <w:r>
              <w:t xml:space="preserve"> were mainly invited from employers but providers could partner employers and apply. Universities found this process difficult to follow. There is some evidence that where </w:t>
            </w:r>
            <w:proofErr w:type="spellStart"/>
            <w:r>
              <w:t>programmes</w:t>
            </w:r>
            <w:proofErr w:type="spellEnd"/>
            <w:r>
              <w:t xml:space="preserve"> were funded at higher education level they were more likely to be with private higher education institutions than public universities. Given that the majority of SETA funding tended to be on </w:t>
            </w:r>
            <w:proofErr w:type="spellStart"/>
            <w:r>
              <w:t>learnerships</w:t>
            </w:r>
            <w:proofErr w:type="spellEnd"/>
            <w:r>
              <w:t xml:space="preserve"> and apprenticeships, again it was difficult for universities to engage. The business model of a university is generally of students attending classes at a particular campus, rather than the institution supporting an employer employing a person and releasing that person to study the theory. So, the service delivery model militated against the engagement of universities. </w:t>
            </w:r>
          </w:p>
        </w:tc>
      </w:tr>
    </w:tbl>
    <w:p w14:paraId="5BFE5058" w14:textId="77777777" w:rsidR="00837496" w:rsidRDefault="00837496" w:rsidP="008C07CF"/>
    <w:tbl>
      <w:tblPr>
        <w:tblStyle w:val="TableGrid"/>
        <w:tblW w:w="0" w:type="auto"/>
        <w:tblLook w:val="04A0" w:firstRow="1" w:lastRow="0" w:firstColumn="1" w:lastColumn="0" w:noHBand="0" w:noVBand="1"/>
      </w:tblPr>
      <w:tblGrid>
        <w:gridCol w:w="2589"/>
        <w:gridCol w:w="6761"/>
      </w:tblGrid>
      <w:tr w:rsidR="00837496" w:rsidRPr="00F47C02" w14:paraId="7E5798FC" w14:textId="77777777" w:rsidTr="00AA07F6">
        <w:trPr>
          <w:tblHeader/>
        </w:trPr>
        <w:tc>
          <w:tcPr>
            <w:tcW w:w="9350" w:type="dxa"/>
            <w:gridSpan w:val="2"/>
            <w:shd w:val="clear" w:color="auto" w:fill="943634" w:themeFill="accent2" w:themeFillShade="BF"/>
          </w:tcPr>
          <w:p w14:paraId="465D24BF" w14:textId="77777777" w:rsidR="00837496" w:rsidRPr="003F3AE8" w:rsidRDefault="00837496" w:rsidP="008C07CF">
            <w:r w:rsidRPr="00E56E92">
              <w:t xml:space="preserve">Output 4.2.3.2. Agreements between SETAs, university faculties and other stakeholders on appropriate interventions to support improved entry to priority </w:t>
            </w:r>
            <w:proofErr w:type="spellStart"/>
            <w:r w:rsidRPr="00E56E92">
              <w:t>programmes</w:t>
            </w:r>
            <w:proofErr w:type="spellEnd"/>
            <w:r w:rsidRPr="00E56E92">
              <w:t>, increased work experience and experiential learning for students, and access to post-graduate work.</w:t>
            </w:r>
          </w:p>
        </w:tc>
      </w:tr>
      <w:tr w:rsidR="00837496" w:rsidRPr="00F47C02" w14:paraId="32CB7B56" w14:textId="77777777" w:rsidTr="00AA07F6">
        <w:tc>
          <w:tcPr>
            <w:tcW w:w="2589" w:type="dxa"/>
            <w:shd w:val="clear" w:color="auto" w:fill="D9D9D9" w:themeFill="background1" w:themeFillShade="D9"/>
          </w:tcPr>
          <w:p w14:paraId="01950771" w14:textId="77777777" w:rsidR="00837496" w:rsidRPr="00BA479B" w:rsidRDefault="00837496" w:rsidP="008C07CF">
            <w:r w:rsidRPr="00E56E92">
              <w:t>How many university partnerships existed with SETAs?</w:t>
            </w:r>
          </w:p>
        </w:tc>
        <w:tc>
          <w:tcPr>
            <w:tcW w:w="6761" w:type="dxa"/>
            <w:shd w:val="clear" w:color="auto" w:fill="auto"/>
          </w:tcPr>
          <w:p w14:paraId="4D4B3252" w14:textId="092979FC" w:rsidR="00D73FEE" w:rsidRDefault="00837496" w:rsidP="008C07CF">
            <w:pPr>
              <w:rPr>
                <w:b/>
              </w:rPr>
            </w:pPr>
            <w:r>
              <w:t xml:space="preserve">Several partnerships existed between SETAs and universities. </w:t>
            </w:r>
            <w:r w:rsidR="00D73FEE">
              <w:t>Partnerships were not adequatel</w:t>
            </w:r>
            <w:r w:rsidR="00D73FEE" w:rsidRPr="007E19CF">
              <w:t xml:space="preserve">y reported by the SETAs as this was not their key deliverable within the NSDS II. Partnerships were only canvassed and </w:t>
            </w:r>
            <w:proofErr w:type="spellStart"/>
            <w:r w:rsidR="00D73FEE" w:rsidRPr="007E19CF">
              <w:t>emphasised</w:t>
            </w:r>
            <w:proofErr w:type="spellEnd"/>
            <w:r w:rsidR="00D73FEE" w:rsidRPr="007E19CF">
              <w:t xml:space="preserve"> in the NSDS III and the White </w:t>
            </w:r>
            <w:r w:rsidR="00D73FEE" w:rsidRPr="007E19CF">
              <w:lastRenderedPageBreak/>
              <w:t xml:space="preserve">Paper. However, </w:t>
            </w:r>
            <w:r w:rsidR="00D73FEE">
              <w:t xml:space="preserve">prior to these </w:t>
            </w:r>
            <w:r w:rsidR="00D73FEE" w:rsidRPr="007E19CF">
              <w:t xml:space="preserve">there were </w:t>
            </w:r>
            <w:r w:rsidR="00D73FEE">
              <w:t xml:space="preserve">SETA </w:t>
            </w:r>
            <w:r w:rsidR="00D73FEE" w:rsidRPr="007E19CF">
              <w:t xml:space="preserve">initiatives, which </w:t>
            </w:r>
            <w:r w:rsidR="00D73FEE">
              <w:t xml:space="preserve">existed but were </w:t>
            </w:r>
            <w:r w:rsidR="00D73FEE" w:rsidRPr="007E19CF">
              <w:t>not systematically recorded.</w:t>
            </w:r>
            <w:r w:rsidR="00D73FEE">
              <w:rPr>
                <w:b/>
              </w:rPr>
              <w:t xml:space="preserve"> </w:t>
            </w:r>
          </w:p>
          <w:p w14:paraId="58D65D70" w14:textId="77777777" w:rsidR="0023232E" w:rsidRPr="00BA479B" w:rsidRDefault="00837496" w:rsidP="008C07CF">
            <w:proofErr w:type="spellStart"/>
            <w:r>
              <w:t>Fasset’s</w:t>
            </w:r>
            <w:proofErr w:type="spellEnd"/>
            <w:r>
              <w:t xml:space="preserve"> annual report for example, revealed that the SETA had multiple projects involving 420 beneficiaries. These involved Universities of Johannesburg and Cape Town, with management support by the South African Institute for Chartered Accountants (SAICA). Of these, 250 learners were funded for a chartered accountant </w:t>
            </w:r>
            <w:proofErr w:type="spellStart"/>
            <w:r>
              <w:t>programme</w:t>
            </w:r>
            <w:proofErr w:type="spellEnd"/>
            <w:r>
              <w:t xml:space="preserve">. </w:t>
            </w:r>
            <w:r w:rsidR="008C07CF">
              <w:t xml:space="preserve">The other transition </w:t>
            </w:r>
            <w:proofErr w:type="spellStart"/>
            <w:r w:rsidR="008C07CF">
              <w:t>programme</w:t>
            </w:r>
            <w:proofErr w:type="spellEnd"/>
            <w:r w:rsidR="008C07CF">
              <w:t xml:space="preserve"> was abled by the support of Deloitte (DHET, 2011). </w:t>
            </w:r>
            <w:r>
              <w:t xml:space="preserve">The interesting thing about the </w:t>
            </w:r>
            <w:proofErr w:type="spellStart"/>
            <w:r>
              <w:t>Fasset</w:t>
            </w:r>
            <w:proofErr w:type="spellEnd"/>
            <w:r>
              <w:t xml:space="preserve"> work at higher education level is the way that stakeholders came together to redesign the learning pathway for accountants. Agreement was reached that what had been called “articles” – i.e. the work experience required after completing a Bachelor of Commerce (</w:t>
            </w:r>
            <w:proofErr w:type="spellStart"/>
            <w:r>
              <w:t>BComm</w:t>
            </w:r>
            <w:proofErr w:type="spellEnd"/>
            <w:r>
              <w:t xml:space="preserve">) – would be restructured into a </w:t>
            </w:r>
            <w:proofErr w:type="spellStart"/>
            <w:r>
              <w:t>learnership</w:t>
            </w:r>
            <w:proofErr w:type="spellEnd"/>
            <w:r>
              <w:t xml:space="preserve">. In other words, a specific intervention was agreed that would not duplicate university training but would complement it by funding the workplace component. This model allowed, or encouraged, improved equity to be achieved as strict quotas were applied to grants. Whilst there were other examples of such models being developed these were not common across the SETAs and in general the numbers were low. </w:t>
            </w:r>
            <w:proofErr w:type="spellStart"/>
            <w:r>
              <w:t>Inseta’s</w:t>
            </w:r>
            <w:proofErr w:type="spellEnd"/>
            <w:r>
              <w:t xml:space="preserve"> ‘FAIS Fit and Proper Project’ undertaken in collaboration with the Financial Service Board had initiated an articulation project with the University of the Western Cape to facilitate employees who </w:t>
            </w:r>
            <w:r w:rsidR="00EB0DED">
              <w:t xml:space="preserve">had </w:t>
            </w:r>
            <w:r>
              <w:t>a Diploma in Wealth Creation at selected TVET colleges to advance to 2</w:t>
            </w:r>
            <w:r w:rsidRPr="004460DE">
              <w:rPr>
                <w:vertAlign w:val="superscript"/>
              </w:rPr>
              <w:t>nd</w:t>
            </w:r>
            <w:r>
              <w:t xml:space="preserve"> Year </w:t>
            </w:r>
            <w:proofErr w:type="spellStart"/>
            <w:r>
              <w:t>BComm</w:t>
            </w:r>
            <w:proofErr w:type="spellEnd"/>
            <w:r>
              <w:t xml:space="preserve"> degree (</w:t>
            </w:r>
            <w:proofErr w:type="spellStart"/>
            <w:r>
              <w:t>Inseta</w:t>
            </w:r>
            <w:proofErr w:type="spellEnd"/>
            <w:r>
              <w:t xml:space="preserve"> Annual Report 2000/10). </w:t>
            </w:r>
            <w:proofErr w:type="spellStart"/>
            <w:r>
              <w:t>MerSETA</w:t>
            </w:r>
            <w:proofErr w:type="spellEnd"/>
            <w:r>
              <w:t xml:space="preserve"> was in the process of exploring partnerships with WITS’ REAL and Further Education and Training Institute (FETI) at the University of the Western Cape (Annual Report 2010/11). Furthermore, the SETA had a Memorandum of Agreement (</w:t>
            </w:r>
            <w:proofErr w:type="spellStart"/>
            <w:r>
              <w:t>MoA</w:t>
            </w:r>
            <w:proofErr w:type="spellEnd"/>
            <w:r>
              <w:t>) with NMMU to support rural schools and women in engineering.</w:t>
            </w:r>
          </w:p>
        </w:tc>
      </w:tr>
    </w:tbl>
    <w:p w14:paraId="4347706D" w14:textId="77777777" w:rsidR="00837496" w:rsidRDefault="00837496" w:rsidP="008C07CF"/>
    <w:p w14:paraId="26B0EBCD" w14:textId="77777777" w:rsidR="00674EAD" w:rsidRDefault="004830F2" w:rsidP="008C07CF">
      <w:r>
        <w:t>SUMMARY</w:t>
      </w:r>
    </w:p>
    <w:p w14:paraId="6C52E805" w14:textId="77777777" w:rsidR="004009F2" w:rsidRPr="00F24057" w:rsidRDefault="00E165E9" w:rsidP="008C07CF">
      <w:r w:rsidRPr="001C583C">
        <w:t xml:space="preserve">SETAs were typically involved in </w:t>
      </w:r>
      <w:r w:rsidR="00646218">
        <w:t xml:space="preserve">supporting </w:t>
      </w:r>
      <w:r w:rsidRPr="001C583C">
        <w:t xml:space="preserve">specific skills </w:t>
      </w:r>
      <w:r w:rsidR="00646218">
        <w:t xml:space="preserve">interventions, including </w:t>
      </w:r>
      <w:r w:rsidR="00D73FEE">
        <w:t xml:space="preserve">bursaries, </w:t>
      </w:r>
      <w:proofErr w:type="spellStart"/>
      <w:r w:rsidR="00646218">
        <w:t>learnerships</w:t>
      </w:r>
      <w:proofErr w:type="spellEnd"/>
      <w:r w:rsidR="00646218">
        <w:t xml:space="preserve"> and internships</w:t>
      </w:r>
      <w:r w:rsidRPr="001C583C">
        <w:t xml:space="preserve">. </w:t>
      </w:r>
      <w:r w:rsidR="00D73FEE">
        <w:t xml:space="preserve">Where high-level skills gaps were identified, the SETAs had </w:t>
      </w:r>
      <w:r w:rsidR="00C8327E">
        <w:t xml:space="preserve">the </w:t>
      </w:r>
      <w:r w:rsidR="00D73FEE">
        <w:t>option of providing bursaries or internships as interventions without necessarily entering into partnerships with universities. Where partnerships were entered into, such p</w:t>
      </w:r>
      <w:r w:rsidR="00902291" w:rsidRPr="001C583C">
        <w:t xml:space="preserve">artnerships </w:t>
      </w:r>
      <w:r w:rsidR="00902291" w:rsidRPr="001C583C">
        <w:lastRenderedPageBreak/>
        <w:t>ap</w:t>
      </w:r>
      <w:r w:rsidR="00902291">
        <w:t>peared to have been sector-focu</w:t>
      </w:r>
      <w:r w:rsidR="00902291" w:rsidRPr="001C583C">
        <w:t xml:space="preserve">sed. </w:t>
      </w:r>
      <w:r w:rsidR="008E29B7" w:rsidRPr="001C583C">
        <w:t>However,</w:t>
      </w:r>
      <w:r w:rsidRPr="001C583C">
        <w:t xml:space="preserve"> the scale of such initia</w:t>
      </w:r>
      <w:r w:rsidR="008E29B7">
        <w:t>ti</w:t>
      </w:r>
      <w:r w:rsidRPr="001C583C">
        <w:t xml:space="preserve">ves would not have </w:t>
      </w:r>
      <w:r w:rsidR="009D178C" w:rsidRPr="001C583C">
        <w:t xml:space="preserve">been </w:t>
      </w:r>
      <w:r w:rsidRPr="001C583C">
        <w:t>high due to SETAs conce</w:t>
      </w:r>
      <w:r w:rsidR="00646218">
        <w:t>n</w:t>
      </w:r>
      <w:r w:rsidRPr="001C583C">
        <w:t>tration on middle-level skills</w:t>
      </w:r>
      <w:r w:rsidR="007D46BE" w:rsidRPr="001C583C">
        <w:t>. Reports suggest that the projects, despite the small scale, have created opportunities for aspiring professionals.</w:t>
      </w:r>
      <w:r w:rsidR="007D46BE">
        <w:t xml:space="preserve"> </w:t>
      </w:r>
      <w:r w:rsidR="00BE0FD8">
        <w:t>So,</w:t>
      </w:r>
      <w:r w:rsidR="00646218">
        <w:t xml:space="preserve"> in 2010/2011 it can be said that </w:t>
      </w:r>
      <w:r w:rsidR="00BE0FD8">
        <w:t>several</w:t>
      </w:r>
      <w:r w:rsidR="00646218">
        <w:t xml:space="preserve"> pilots and models had been developed and although numbers were low, the possibility of building serious sector partnerships involving universities was there. </w:t>
      </w:r>
      <w:r w:rsidR="00BE0FD8">
        <w:t>However,</w:t>
      </w:r>
      <w:r w:rsidR="00646218">
        <w:t xml:space="preserve"> the SETA and NSF service delivery model, and in particular the annual grant advertising process, </w:t>
      </w:r>
      <w:r w:rsidR="005F7A44">
        <w:t>was not particularly geared towards producing high numbers of high level skills unless those skills were naturally required by the employers</w:t>
      </w:r>
      <w:r w:rsidR="00646218">
        <w:t>.</w:t>
      </w:r>
    </w:p>
    <w:p w14:paraId="439BEBC5" w14:textId="77777777" w:rsidR="0070583E" w:rsidRPr="0070583E" w:rsidRDefault="0070583E" w:rsidP="008C07CF">
      <w:r w:rsidRPr="0070583E">
        <w:t xml:space="preserve">Outcome 4.2.4: </w:t>
      </w:r>
      <w:r w:rsidRPr="00AA4BA0">
        <w:t xml:space="preserve">Relevant research and development and innovation capacity is developed and innovative research projects are established. </w:t>
      </w:r>
    </w:p>
    <w:p w14:paraId="4FB0CA65" w14:textId="77777777" w:rsidR="005264E1" w:rsidRDefault="005264E1" w:rsidP="008C07CF">
      <w:r>
        <w:t>Knowledge is increasing</w:t>
      </w:r>
      <w:r w:rsidR="0041597C">
        <w:t>ly</w:t>
      </w:r>
      <w:r>
        <w:t xml:space="preserve"> viewed as the core sti</w:t>
      </w:r>
      <w:r w:rsidR="0041597C">
        <w:t xml:space="preserve">mulus of </w:t>
      </w:r>
      <w:proofErr w:type="spellStart"/>
      <w:r w:rsidR="0041597C">
        <w:t>industriali</w:t>
      </w:r>
      <w:r w:rsidR="005F7A44">
        <w:t>s</w:t>
      </w:r>
      <w:r w:rsidR="0041597C">
        <w:t>ation</w:t>
      </w:r>
      <w:proofErr w:type="spellEnd"/>
      <w:r w:rsidR="0041597C">
        <w:t xml:space="preserve"> and </w:t>
      </w:r>
      <w:r>
        <w:t xml:space="preserve">economic growth. There is strong emphasis on investment in technology, creation of high-tech industries and human capital development which in turn would </w:t>
      </w:r>
      <w:r w:rsidR="008E29B7">
        <w:t>stimulate</w:t>
      </w:r>
      <w:r>
        <w:t xml:space="preserve"> wages, create employment opportunities and global competitiveness (Education Policy Consortium, 2014). </w:t>
      </w:r>
      <w:r w:rsidR="008E29B7">
        <w:t>Therefore,</w:t>
      </w:r>
      <w:r>
        <w:t xml:space="preserve"> e</w:t>
      </w:r>
      <w:r w:rsidR="00430D6D" w:rsidRPr="00914E7E">
        <w:t>conomic development dep</w:t>
      </w:r>
      <w:r w:rsidR="00080E33" w:rsidRPr="00914E7E">
        <w:t>e</w:t>
      </w:r>
      <w:r w:rsidR="00430D6D" w:rsidRPr="00914E7E">
        <w:t>nds on innovation and technology absorption</w:t>
      </w:r>
      <w:r w:rsidR="00080E33" w:rsidRPr="00914E7E">
        <w:t xml:space="preserve"> an</w:t>
      </w:r>
      <w:r w:rsidR="00317109">
        <w:t>d a shortage thereof, becomes a</w:t>
      </w:r>
      <w:r w:rsidR="00080E33" w:rsidRPr="00914E7E">
        <w:t xml:space="preserve"> hindrance</w:t>
      </w:r>
      <w:r>
        <w:t xml:space="preserve"> in any economic growth </w:t>
      </w:r>
      <w:proofErr w:type="spellStart"/>
      <w:r>
        <w:t>endeavours</w:t>
      </w:r>
      <w:proofErr w:type="spellEnd"/>
      <w:r>
        <w:t xml:space="preserve">. </w:t>
      </w:r>
    </w:p>
    <w:p w14:paraId="4C5158C3" w14:textId="77777777" w:rsidR="00674EAD" w:rsidRPr="00AA4BA0" w:rsidRDefault="00080E33" w:rsidP="008C07CF">
      <w:pPr>
        <w:rPr>
          <w:rFonts w:cstheme="minorHAnsi"/>
          <w:b/>
        </w:rPr>
      </w:pPr>
      <w:r w:rsidRPr="00914E7E">
        <w:t>South Africa’s investment in knowledge generation g</w:t>
      </w:r>
      <w:r w:rsidR="0041597C">
        <w:t xml:space="preserve">rew three-fold </w:t>
      </w:r>
      <w:r w:rsidR="00646218">
        <w:t>between the</w:t>
      </w:r>
      <w:r w:rsidRPr="00914E7E">
        <w:t xml:space="preserve"> mid-90s </w:t>
      </w:r>
      <w:r w:rsidR="00646218">
        <w:t xml:space="preserve">and 2010. </w:t>
      </w:r>
      <w:r w:rsidR="00BE0FD8">
        <w:t>However,</w:t>
      </w:r>
      <w:r w:rsidR="00646218">
        <w:t xml:space="preserve"> </w:t>
      </w:r>
      <w:r w:rsidRPr="00914E7E">
        <w:t>the number of research personnel</w:t>
      </w:r>
      <w:r w:rsidR="00D61678">
        <w:t xml:space="preserve"> did not expand in proportion to funding</w:t>
      </w:r>
      <w:r w:rsidR="008D6308">
        <w:t xml:space="preserve">, </w:t>
      </w:r>
      <w:r w:rsidR="00BE0FD8">
        <w:t>and in</w:t>
      </w:r>
      <w:r w:rsidR="00B910F4">
        <w:t xml:space="preserve"> 2009/2010, full time equivalent </w:t>
      </w:r>
      <w:r w:rsidR="00463EE2">
        <w:t xml:space="preserve">research </w:t>
      </w:r>
      <w:r w:rsidR="00B910F4">
        <w:t>personnel in South Africa was reportedly around 30 891. During 2009/10</w:t>
      </w:r>
      <w:r w:rsidR="001A72E3">
        <w:t>, South Africa employed a total of 1.5 full time equivalent researchers per 1000 employed. Most of the research and development were employed by higher education institutions, totaling 3</w:t>
      </w:r>
      <w:r w:rsidR="00A37F34">
        <w:t> </w:t>
      </w:r>
      <w:r w:rsidR="001A72E3">
        <w:t>292</w:t>
      </w:r>
      <w:r w:rsidR="00A37F34">
        <w:t xml:space="preserve">. </w:t>
      </w:r>
      <w:r w:rsidR="00B535C9">
        <w:t xml:space="preserve">The NDP states that SA should produce more than 100 doctoral graduates per million of the population compared to the current </w:t>
      </w:r>
      <w:r w:rsidR="008D6308">
        <w:t>28 per million</w:t>
      </w:r>
      <w:r w:rsidR="00B535C9">
        <w:t xml:space="preserve"> per year (Success of the Department Since 2009, Report to Parliament, 2016). </w:t>
      </w:r>
      <w:r w:rsidR="00D25C7E" w:rsidRPr="00914E7E">
        <w:t>South Africa need</w:t>
      </w:r>
      <w:r w:rsidRPr="00914E7E">
        <w:t xml:space="preserve">ed </w:t>
      </w:r>
      <w:r w:rsidR="00D25C7E" w:rsidRPr="00914E7E">
        <w:t xml:space="preserve">a strong foundation of </w:t>
      </w:r>
      <w:proofErr w:type="spellStart"/>
      <w:r w:rsidR="00D25C7E" w:rsidRPr="00914E7E">
        <w:t>labour</w:t>
      </w:r>
      <w:proofErr w:type="spellEnd"/>
      <w:r w:rsidR="00D25C7E" w:rsidRPr="00914E7E">
        <w:t xml:space="preserve"> market information including credible datasets across the post-school system and </w:t>
      </w:r>
      <w:proofErr w:type="spellStart"/>
      <w:r w:rsidR="00D25C7E" w:rsidRPr="00914E7E">
        <w:t>labour</w:t>
      </w:r>
      <w:proofErr w:type="spellEnd"/>
      <w:r w:rsidR="00D25C7E" w:rsidRPr="00914E7E">
        <w:t xml:space="preserve"> markets, down to sectoral, occupational and regional level</w:t>
      </w:r>
      <w:r w:rsidRPr="00914E7E">
        <w:t>s of analysis. Equally, there was</w:t>
      </w:r>
      <w:r w:rsidR="00D25C7E" w:rsidRPr="00914E7E">
        <w:t xml:space="preserve"> need for strong </w:t>
      </w:r>
      <w:proofErr w:type="spellStart"/>
      <w:r w:rsidR="00D25C7E" w:rsidRPr="00914E7E">
        <w:t>labour</w:t>
      </w:r>
      <w:proofErr w:type="spellEnd"/>
      <w:r w:rsidR="00D25C7E" w:rsidRPr="00914E7E">
        <w:t xml:space="preserve"> market intelligence: research that analyses dynamics, capabilities and constraints (Reddy and </w:t>
      </w:r>
      <w:proofErr w:type="spellStart"/>
      <w:r w:rsidR="00D25C7E" w:rsidRPr="00914E7E">
        <w:t>Kruss</w:t>
      </w:r>
      <w:proofErr w:type="spellEnd"/>
      <w:r w:rsidR="00D25C7E" w:rsidRPr="00914E7E">
        <w:t>, 2013).</w:t>
      </w:r>
    </w:p>
    <w:tbl>
      <w:tblPr>
        <w:tblStyle w:val="TableGrid"/>
        <w:tblW w:w="0" w:type="auto"/>
        <w:tblInd w:w="108" w:type="dxa"/>
        <w:tblLook w:val="04A0" w:firstRow="1" w:lastRow="0" w:firstColumn="1" w:lastColumn="0" w:noHBand="0" w:noVBand="1"/>
      </w:tblPr>
      <w:tblGrid>
        <w:gridCol w:w="9242"/>
      </w:tblGrid>
      <w:tr w:rsidR="00BC7E9F" w:rsidRPr="00F47C02" w14:paraId="58CC5413" w14:textId="77777777" w:rsidTr="00156FE1">
        <w:tc>
          <w:tcPr>
            <w:tcW w:w="9242" w:type="dxa"/>
            <w:shd w:val="clear" w:color="auto" w:fill="943634" w:themeFill="accent2" w:themeFillShade="BF"/>
          </w:tcPr>
          <w:p w14:paraId="67C70309" w14:textId="77777777" w:rsidR="00BC7E9F" w:rsidRPr="00AA4BA0" w:rsidRDefault="00BC7E9F" w:rsidP="008C07CF">
            <w:r w:rsidRPr="00AA4BA0">
              <w:t>Output 4.2.4.1</w:t>
            </w:r>
            <w:r w:rsidRPr="00AA4BA0">
              <w:tab/>
              <w:t>Sector Skills Plans identify the focal areas for research, innovation and development.</w:t>
            </w:r>
          </w:p>
        </w:tc>
      </w:tr>
      <w:tr w:rsidR="00BC7E9F" w:rsidRPr="00F47C02" w14:paraId="026A6C52" w14:textId="77777777" w:rsidTr="00156FE1">
        <w:tc>
          <w:tcPr>
            <w:tcW w:w="9242" w:type="dxa"/>
            <w:shd w:val="clear" w:color="auto" w:fill="D9D9D9" w:themeFill="background1" w:themeFillShade="D9"/>
          </w:tcPr>
          <w:p w14:paraId="31C234A5" w14:textId="77777777" w:rsidR="00BC7E9F" w:rsidRPr="00AA4BA0" w:rsidRDefault="00BC7E9F" w:rsidP="008C07CF">
            <w:r w:rsidRPr="00AA4BA0">
              <w:t xml:space="preserve">How many SETAs had a research, innovation and development focus? </w:t>
            </w:r>
          </w:p>
        </w:tc>
      </w:tr>
      <w:tr w:rsidR="00BC7E9F" w:rsidRPr="00F47C02" w14:paraId="7E412FDC" w14:textId="77777777" w:rsidTr="00156FE1">
        <w:tc>
          <w:tcPr>
            <w:tcW w:w="9242" w:type="dxa"/>
          </w:tcPr>
          <w:p w14:paraId="47CA391D" w14:textId="17397923" w:rsidR="00073CD4" w:rsidRDefault="00131845" w:rsidP="008C07CF">
            <w:r>
              <w:t>I</w:t>
            </w:r>
            <w:r w:rsidR="002200F8" w:rsidRPr="00131845">
              <w:t xml:space="preserve">t is on record that some SETAs had </w:t>
            </w:r>
            <w:r>
              <w:t xml:space="preserve">a </w:t>
            </w:r>
            <w:r w:rsidR="002200F8" w:rsidRPr="00131845">
              <w:t>focus on knowledge generation and development.</w:t>
            </w:r>
            <w:r w:rsidR="00C006C4">
              <w:t xml:space="preserve"> </w:t>
            </w:r>
            <w:r w:rsidR="00073CD4">
              <w:t xml:space="preserve">Eight SETAs had been allocated Research SIC Codes </w:t>
            </w:r>
            <w:r w:rsidR="00B2006F">
              <w:t xml:space="preserve">by SARS. </w:t>
            </w:r>
            <w:r w:rsidR="00073CD4" w:rsidRPr="000537CC">
              <w:rPr>
                <w:b/>
              </w:rPr>
              <w:t>Table</w:t>
            </w:r>
            <w:r w:rsidR="00A37F34" w:rsidRPr="000537CC">
              <w:rPr>
                <w:b/>
              </w:rPr>
              <w:t xml:space="preserve"> </w:t>
            </w:r>
            <w:r w:rsidR="00A05419">
              <w:rPr>
                <w:b/>
              </w:rPr>
              <w:t>1</w:t>
            </w:r>
            <w:r w:rsidR="00A37F34">
              <w:t xml:space="preserve"> </w:t>
            </w:r>
            <w:r w:rsidR="00073CD4">
              <w:t>presents a breakdown of the SETAs and their research foc</w:t>
            </w:r>
            <w:r w:rsidR="003D3399">
              <w:t>a</w:t>
            </w:r>
            <w:r w:rsidR="00073CD4">
              <w:t>l areas</w:t>
            </w:r>
            <w:r w:rsidR="00B2006F">
              <w:t xml:space="preserve"> allocated</w:t>
            </w:r>
            <w:r w:rsidR="00EC3119">
              <w:t>.</w:t>
            </w:r>
          </w:p>
          <w:p w14:paraId="33FDF7A3" w14:textId="77777777" w:rsidR="00B2006F" w:rsidRDefault="00B2006F" w:rsidP="008C07CF"/>
          <w:p w14:paraId="3111FA7D" w14:textId="7683D174" w:rsidR="00073CD4" w:rsidRPr="000537CC" w:rsidRDefault="000B69DC" w:rsidP="008C07CF">
            <w:r w:rsidRPr="000537CC">
              <w:t xml:space="preserve">Table </w:t>
            </w:r>
            <w:r w:rsidR="00A05419">
              <w:t>1</w:t>
            </w:r>
            <w:r w:rsidR="000836FA">
              <w:t>: SETAs with research focus</w:t>
            </w:r>
          </w:p>
          <w:tbl>
            <w:tblPr>
              <w:tblStyle w:val="GridTable5Dark-Accent6"/>
              <w:tblW w:w="9246" w:type="dxa"/>
              <w:tblLook w:val="04A0" w:firstRow="1" w:lastRow="0" w:firstColumn="1" w:lastColumn="0" w:noHBand="0" w:noVBand="1"/>
            </w:tblPr>
            <w:tblGrid>
              <w:gridCol w:w="1533"/>
              <w:gridCol w:w="7713"/>
            </w:tblGrid>
            <w:tr w:rsidR="00073CD4" w14:paraId="69909164" w14:textId="77777777" w:rsidTr="000537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9C351D3" w14:textId="77777777" w:rsidR="00073CD4" w:rsidRDefault="00073CD4" w:rsidP="008C07CF">
                  <w:r>
                    <w:t>SETA</w:t>
                  </w:r>
                </w:p>
              </w:tc>
              <w:tc>
                <w:tcPr>
                  <w:tcW w:w="6167" w:type="dxa"/>
                </w:tcPr>
                <w:p w14:paraId="7526B8E8" w14:textId="77777777" w:rsidR="00073CD4" w:rsidRDefault="00A37F34" w:rsidP="008C07CF">
                  <w:pPr>
                    <w:cnfStyle w:val="100000000000" w:firstRow="1" w:lastRow="0" w:firstColumn="0" w:lastColumn="0" w:oddVBand="0" w:evenVBand="0" w:oddHBand="0" w:evenHBand="0" w:firstRowFirstColumn="0" w:firstRowLastColumn="0" w:lastRowFirstColumn="0" w:lastRowLastColumn="0"/>
                  </w:pPr>
                  <w:r>
                    <w:t>R</w:t>
                  </w:r>
                  <w:r w:rsidR="008E34D8">
                    <w:t>ESEARCH AREA</w:t>
                  </w:r>
                </w:p>
              </w:tc>
            </w:tr>
            <w:tr w:rsidR="00073CD4" w14:paraId="309D35E8" w14:textId="77777777" w:rsidTr="00053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A26A5EE" w14:textId="77777777" w:rsidR="00073CD4" w:rsidRDefault="00073CD4" w:rsidP="008C07CF">
                  <w:r>
                    <w:lastRenderedPageBreak/>
                    <w:t>CHIETA</w:t>
                  </w:r>
                </w:p>
              </w:tc>
              <w:tc>
                <w:tcPr>
                  <w:tcW w:w="6167" w:type="dxa"/>
                </w:tcPr>
                <w:p w14:paraId="67B89E49" w14:textId="77777777" w:rsidR="00073CD4" w:rsidRDefault="00073CD4" w:rsidP="008C07CF">
                  <w:pPr>
                    <w:cnfStyle w:val="000000100000" w:firstRow="0" w:lastRow="0" w:firstColumn="0" w:lastColumn="0" w:oddVBand="0" w:evenVBand="0" w:oddHBand="1" w:evenHBand="0" w:firstRowFirstColumn="0" w:firstRowLastColumn="0" w:lastRowFirstColumn="0" w:lastRowLastColumn="0"/>
                  </w:pPr>
                  <w:r>
                    <w:t>Industrial Research, e.g. Fuel Research</w:t>
                  </w:r>
                </w:p>
              </w:tc>
            </w:tr>
            <w:tr w:rsidR="00073CD4" w14:paraId="36EA3C67" w14:textId="77777777" w:rsidTr="000537CC">
              <w:tc>
                <w:tcPr>
                  <w:cnfStyle w:val="001000000000" w:firstRow="0" w:lastRow="0" w:firstColumn="1" w:lastColumn="0" w:oddVBand="0" w:evenVBand="0" w:oddHBand="0" w:evenHBand="0" w:firstRowFirstColumn="0" w:firstRowLastColumn="0" w:lastRowFirstColumn="0" w:lastRowLastColumn="0"/>
                  <w:tcW w:w="0" w:type="dxa"/>
                </w:tcPr>
                <w:p w14:paraId="1A29C187" w14:textId="77777777" w:rsidR="00073CD4" w:rsidRDefault="00073CD4" w:rsidP="008C07CF">
                  <w:r>
                    <w:t>ETDP</w:t>
                  </w:r>
                  <w:r w:rsidR="008E34D8">
                    <w:t>SETA</w:t>
                  </w:r>
                </w:p>
              </w:tc>
              <w:tc>
                <w:tcPr>
                  <w:tcW w:w="6167" w:type="dxa"/>
                </w:tcPr>
                <w:p w14:paraId="4EF20D04" w14:textId="77777777" w:rsidR="00073CD4" w:rsidRDefault="00073CD4" w:rsidP="008C07CF">
                  <w:pPr>
                    <w:cnfStyle w:val="000000000000" w:firstRow="0" w:lastRow="0" w:firstColumn="0" w:lastColumn="0" w:oddVBand="0" w:evenVBand="0" w:oddHBand="0" w:evenHBand="0" w:firstRowFirstColumn="0" w:firstRowLastColumn="0" w:lastRowFirstColumn="0" w:lastRowLastColumn="0"/>
                  </w:pPr>
                  <w:r>
                    <w:t>General Research (CSIR) and Researc</w:t>
                  </w:r>
                  <w:r w:rsidR="00301FDB">
                    <w:t>h</w:t>
                  </w:r>
                  <w:r>
                    <w:t xml:space="preserve"> and Development</w:t>
                  </w:r>
                </w:p>
              </w:tc>
            </w:tr>
            <w:tr w:rsidR="00073CD4" w14:paraId="26430CA9" w14:textId="77777777" w:rsidTr="00053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31C0F1D" w14:textId="77777777" w:rsidR="00073CD4" w:rsidRDefault="00073CD4" w:rsidP="008C07CF">
                  <w:r>
                    <w:t>ENERGY</w:t>
                  </w:r>
                </w:p>
              </w:tc>
              <w:tc>
                <w:tcPr>
                  <w:tcW w:w="6167" w:type="dxa"/>
                </w:tcPr>
                <w:p w14:paraId="767CA140" w14:textId="77777777" w:rsidR="00073CD4" w:rsidRDefault="00073CD4" w:rsidP="008C07CF">
                  <w:pPr>
                    <w:cnfStyle w:val="000000100000" w:firstRow="0" w:lastRow="0" w:firstColumn="0" w:lastColumn="0" w:oddVBand="0" w:evenVBand="0" w:oddHBand="1" w:evenHBand="0" w:firstRowFirstColumn="0" w:firstRowLastColumn="0" w:lastRowFirstColumn="0" w:lastRowLastColumn="0"/>
                  </w:pPr>
                  <w:r>
                    <w:t>Industrial Research for Electrical Energy</w:t>
                  </w:r>
                </w:p>
              </w:tc>
            </w:tr>
            <w:tr w:rsidR="00073CD4" w14:paraId="605916D1" w14:textId="77777777" w:rsidTr="000537CC">
              <w:tc>
                <w:tcPr>
                  <w:cnfStyle w:val="001000000000" w:firstRow="0" w:lastRow="0" w:firstColumn="1" w:lastColumn="0" w:oddVBand="0" w:evenVBand="0" w:oddHBand="0" w:evenHBand="0" w:firstRowFirstColumn="0" w:firstRowLastColumn="0" w:lastRowFirstColumn="0" w:lastRowLastColumn="0"/>
                  <w:tcW w:w="0" w:type="dxa"/>
                </w:tcPr>
                <w:p w14:paraId="75498556" w14:textId="77777777" w:rsidR="00073CD4" w:rsidRDefault="00073CD4" w:rsidP="008C07CF">
                  <w:r>
                    <w:t>FIETA</w:t>
                  </w:r>
                </w:p>
              </w:tc>
              <w:tc>
                <w:tcPr>
                  <w:tcW w:w="6167" w:type="dxa"/>
                </w:tcPr>
                <w:p w14:paraId="208D1B32" w14:textId="77777777" w:rsidR="00073CD4" w:rsidRDefault="00073CD4" w:rsidP="008C07CF">
                  <w:pPr>
                    <w:cnfStyle w:val="000000000000" w:firstRow="0" w:lastRow="0" w:firstColumn="0" w:lastColumn="0" w:oddVBand="0" w:evenVBand="0" w:oddHBand="0" w:evenHBand="0" w:firstRowFirstColumn="0" w:firstRowLastColumn="0" w:lastRowFirstColumn="0" w:lastRowLastColumn="0"/>
                  </w:pPr>
                  <w:r>
                    <w:t>Forest Research</w:t>
                  </w:r>
                </w:p>
              </w:tc>
            </w:tr>
            <w:tr w:rsidR="00073CD4" w14:paraId="47D31AD2" w14:textId="77777777" w:rsidTr="00053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4CD3EF8" w14:textId="77777777" w:rsidR="00073CD4" w:rsidRDefault="00073CD4" w:rsidP="008C07CF">
                  <w:r>
                    <w:t>H&amp;W SETA</w:t>
                  </w:r>
                </w:p>
              </w:tc>
              <w:tc>
                <w:tcPr>
                  <w:tcW w:w="6167" w:type="dxa"/>
                </w:tcPr>
                <w:p w14:paraId="60F59146" w14:textId="77777777" w:rsidR="00073CD4" w:rsidRDefault="00073CD4" w:rsidP="008C07CF">
                  <w:pPr>
                    <w:cnfStyle w:val="000000100000" w:firstRow="0" w:lastRow="0" w:firstColumn="0" w:lastColumn="0" w:oddVBand="0" w:evenVBand="0" w:oddHBand="1" w:evenHBand="0" w:firstRowFirstColumn="0" w:firstRowLastColumn="0" w:lastRowFirstColumn="0" w:lastRowLastColumn="0"/>
                  </w:pPr>
                  <w:r>
                    <w:t>Research and Development</w:t>
                  </w:r>
                </w:p>
              </w:tc>
            </w:tr>
            <w:tr w:rsidR="00073CD4" w14:paraId="3A3B85FB" w14:textId="77777777" w:rsidTr="000537CC">
              <w:tc>
                <w:tcPr>
                  <w:cnfStyle w:val="001000000000" w:firstRow="0" w:lastRow="0" w:firstColumn="1" w:lastColumn="0" w:oddVBand="0" w:evenVBand="0" w:oddHBand="0" w:evenHBand="0" w:firstRowFirstColumn="0" w:firstRowLastColumn="0" w:lastRowFirstColumn="0" w:lastRowLastColumn="0"/>
                  <w:tcW w:w="0" w:type="dxa"/>
                </w:tcPr>
                <w:p w14:paraId="08B8D5D1" w14:textId="77777777" w:rsidR="00073CD4" w:rsidRDefault="00073CD4" w:rsidP="008C07CF">
                  <w:r>
                    <w:t>ISETT</w:t>
                  </w:r>
                </w:p>
              </w:tc>
              <w:tc>
                <w:tcPr>
                  <w:tcW w:w="6167" w:type="dxa"/>
                </w:tcPr>
                <w:p w14:paraId="35EF5924" w14:textId="77777777" w:rsidR="00073CD4" w:rsidRDefault="00073CD4" w:rsidP="008C07CF">
                  <w:pPr>
                    <w:cnfStyle w:val="000000000000" w:firstRow="0" w:lastRow="0" w:firstColumn="0" w:lastColumn="0" w:oddVBand="0" w:evenVBand="0" w:oddHBand="0" w:evenHBand="0" w:firstRowFirstColumn="0" w:firstRowLastColumn="0" w:lastRowFirstColumn="0" w:lastRowLastColumn="0"/>
                  </w:pPr>
                  <w:r>
                    <w:t xml:space="preserve">Research development in Electronic Equipment, and </w:t>
                  </w:r>
                  <w:r w:rsidR="00DE1281">
                    <w:t>Systems</w:t>
                  </w:r>
                </w:p>
              </w:tc>
            </w:tr>
            <w:tr w:rsidR="00073CD4" w14:paraId="0E25717B" w14:textId="77777777" w:rsidTr="00053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88FC81A" w14:textId="77777777" w:rsidR="00073CD4" w:rsidRDefault="00073CD4" w:rsidP="008C07CF">
                  <w:proofErr w:type="spellStart"/>
                  <w:r>
                    <w:t>AgriSETA</w:t>
                  </w:r>
                  <w:proofErr w:type="spellEnd"/>
                </w:p>
              </w:tc>
              <w:tc>
                <w:tcPr>
                  <w:tcW w:w="6167" w:type="dxa"/>
                </w:tcPr>
                <w:p w14:paraId="5EFC3FB8" w14:textId="77777777" w:rsidR="00073CD4" w:rsidRDefault="00073CD4" w:rsidP="008C07CF">
                  <w:pPr>
                    <w:cnfStyle w:val="000000100000" w:firstRow="0" w:lastRow="0" w:firstColumn="0" w:lastColumn="0" w:oddVBand="0" w:evenVBand="0" w:oddHBand="1" w:evenHBand="0" w:firstRowFirstColumn="0" w:firstRowLastColumn="0" w:lastRowFirstColumn="0" w:lastRowLastColumn="0"/>
                  </w:pPr>
                  <w:r>
                    <w:t>Agricultural and Livestock Research</w:t>
                  </w:r>
                </w:p>
              </w:tc>
            </w:tr>
            <w:tr w:rsidR="00073CD4" w14:paraId="73D6CD77" w14:textId="77777777" w:rsidTr="000537CC">
              <w:tc>
                <w:tcPr>
                  <w:cnfStyle w:val="001000000000" w:firstRow="0" w:lastRow="0" w:firstColumn="1" w:lastColumn="0" w:oddVBand="0" w:evenVBand="0" w:oddHBand="0" w:evenHBand="0" w:firstRowFirstColumn="0" w:firstRowLastColumn="0" w:lastRowFirstColumn="0" w:lastRowLastColumn="0"/>
                  <w:tcW w:w="0" w:type="dxa"/>
                </w:tcPr>
                <w:p w14:paraId="4D7F23EB" w14:textId="77777777" w:rsidR="00073CD4" w:rsidRDefault="008E34D8" w:rsidP="008C07CF">
                  <w:r>
                    <w:t>Services SETA</w:t>
                  </w:r>
                </w:p>
              </w:tc>
              <w:tc>
                <w:tcPr>
                  <w:tcW w:w="6167" w:type="dxa"/>
                </w:tcPr>
                <w:p w14:paraId="2191DCF8" w14:textId="77777777" w:rsidR="00073CD4" w:rsidRDefault="008E34D8" w:rsidP="008C07CF">
                  <w:pPr>
                    <w:cnfStyle w:val="000000000000" w:firstRow="0" w:lastRow="0" w:firstColumn="0" w:lastColumn="0" w:oddVBand="0" w:evenVBand="0" w:oddHBand="0" w:evenHBand="0" w:firstRowFirstColumn="0" w:firstRowLastColumn="0" w:lastRowFirstColumn="0" w:lastRowLastColumn="0"/>
                  </w:pPr>
                  <w:r>
                    <w:t>Market Research and Public</w:t>
                  </w:r>
                  <w:r w:rsidR="00301FDB">
                    <w:t xml:space="preserve"> </w:t>
                  </w:r>
                  <w:r>
                    <w:t>Opinion Polling</w:t>
                  </w:r>
                </w:p>
              </w:tc>
            </w:tr>
          </w:tbl>
          <w:p w14:paraId="129530FD" w14:textId="77777777" w:rsidR="000B69DC" w:rsidRDefault="00B2006F" w:rsidP="008C07CF">
            <w:r>
              <w:t xml:space="preserve">Source: SARS (2010) in ETDP Research </w:t>
            </w:r>
            <w:proofErr w:type="spellStart"/>
            <w:r>
              <w:t>Organisation</w:t>
            </w:r>
            <w:proofErr w:type="spellEnd"/>
            <w:r>
              <w:t xml:space="preserve"> Sector Skills Plan Update, 2013/14</w:t>
            </w:r>
          </w:p>
          <w:p w14:paraId="00851CFA" w14:textId="77777777" w:rsidR="00B2006F" w:rsidRPr="000537CC" w:rsidRDefault="00B2006F" w:rsidP="008C07CF"/>
          <w:p w14:paraId="0DB545BE" w14:textId="77777777" w:rsidR="00BC7E9F" w:rsidRPr="00AA4BA0" w:rsidRDefault="00131845" w:rsidP="008C07CF">
            <w:r>
              <w:t>The</w:t>
            </w:r>
            <w:r w:rsidR="002200F8" w:rsidRPr="00131845">
              <w:t xml:space="preserve">re were </w:t>
            </w:r>
            <w:r>
              <w:t xml:space="preserve">also </w:t>
            </w:r>
            <w:r w:rsidR="00AE373E">
              <w:t>reported initia</w:t>
            </w:r>
            <w:r w:rsidR="008E29B7">
              <w:t>ti</w:t>
            </w:r>
            <w:r w:rsidR="00AE373E">
              <w:t>ves involving the</w:t>
            </w:r>
            <w:r w:rsidR="002200F8" w:rsidRPr="00131845">
              <w:t xml:space="preserve"> establishment of Research Chairs</w:t>
            </w:r>
            <w:r w:rsidRPr="00131845">
              <w:t xml:space="preserve"> within universities</w:t>
            </w:r>
            <w:r w:rsidR="002200F8" w:rsidRPr="00131845">
              <w:t xml:space="preserve">. </w:t>
            </w:r>
            <w:r w:rsidR="003911C1">
              <w:t xml:space="preserve">The </w:t>
            </w:r>
            <w:proofErr w:type="spellStart"/>
            <w:r w:rsidR="003911C1">
              <w:t>merSETA</w:t>
            </w:r>
            <w:proofErr w:type="spellEnd"/>
            <w:r w:rsidR="003911C1">
              <w:t xml:space="preserve"> had partnerships (MOUs) with the HRSC, Universities of Bremen and WITS. The SETA ha</w:t>
            </w:r>
            <w:r w:rsidR="00AE373E">
              <w:t>d</w:t>
            </w:r>
            <w:r w:rsidR="003911C1">
              <w:t xml:space="preserve"> a research venture </w:t>
            </w:r>
            <w:r w:rsidR="007676B0">
              <w:t xml:space="preserve">in </w:t>
            </w:r>
            <w:r w:rsidR="003911C1">
              <w:t>collaboration with WITS’ Resear</w:t>
            </w:r>
            <w:r w:rsidR="00D61678">
              <w:t>c</w:t>
            </w:r>
            <w:r w:rsidR="003911C1">
              <w:t xml:space="preserve">h into Employment and Learning (REAL) </w:t>
            </w:r>
            <w:r w:rsidR="008E29B7">
              <w:t>and the</w:t>
            </w:r>
            <w:r w:rsidR="003911C1">
              <w:t xml:space="preserve"> Further Education and Training Institute (FETI) at the University of the Western Cape (Annual Report, 2010/2011)</w:t>
            </w:r>
            <w:r w:rsidR="00EB4C30">
              <w:t>.</w:t>
            </w:r>
            <w:r w:rsidR="003911C1">
              <w:t xml:space="preserve"> </w:t>
            </w:r>
            <w:proofErr w:type="spellStart"/>
            <w:r w:rsidR="00D61678">
              <w:t>Chieta</w:t>
            </w:r>
            <w:proofErr w:type="spellEnd"/>
            <w:r w:rsidR="00D61678">
              <w:t xml:space="preserve"> also had in place funding for Masters students in their sector. </w:t>
            </w:r>
            <w:proofErr w:type="spellStart"/>
            <w:r w:rsidR="005F2919">
              <w:t>BankSETA</w:t>
            </w:r>
            <w:proofErr w:type="spellEnd"/>
            <w:r w:rsidR="005F2919">
              <w:t xml:space="preserve"> was involved in an International Executive </w:t>
            </w:r>
            <w:proofErr w:type="spellStart"/>
            <w:r w:rsidR="005F2919">
              <w:t>Programme</w:t>
            </w:r>
            <w:proofErr w:type="spellEnd"/>
            <w:r w:rsidR="005F2919">
              <w:t xml:space="preserve"> involving the UK/Uganda, Europe/Kenya, USA. In addition, </w:t>
            </w:r>
            <w:r w:rsidR="008E34D8">
              <w:t xml:space="preserve">BANK </w:t>
            </w:r>
            <w:r w:rsidR="005F2919">
              <w:t>SETA funded 14 PhD and Post-Doctoral students involving various national universities (</w:t>
            </w:r>
            <w:proofErr w:type="spellStart"/>
            <w:r w:rsidR="005F2919">
              <w:t>BankSeta</w:t>
            </w:r>
            <w:proofErr w:type="spellEnd"/>
            <w:r w:rsidR="005F2919">
              <w:t xml:space="preserve"> Annual Report). </w:t>
            </w:r>
          </w:p>
        </w:tc>
      </w:tr>
      <w:tr w:rsidR="00BC7E9F" w:rsidRPr="00F47C02" w14:paraId="1F9F4A76" w14:textId="77777777" w:rsidTr="00156FE1">
        <w:tc>
          <w:tcPr>
            <w:tcW w:w="9242" w:type="dxa"/>
            <w:shd w:val="clear" w:color="auto" w:fill="D9D9D9" w:themeFill="background1" w:themeFillShade="D9"/>
          </w:tcPr>
          <w:p w14:paraId="25D60C36" w14:textId="77777777" w:rsidR="00BC7E9F" w:rsidRPr="00AA4BA0" w:rsidRDefault="00BC7E9F" w:rsidP="008C07CF">
            <w:r w:rsidRPr="00AA4BA0">
              <w:lastRenderedPageBreak/>
              <w:t xml:space="preserve">How many such projects had been identified by SETAs? </w:t>
            </w:r>
          </w:p>
        </w:tc>
      </w:tr>
      <w:tr w:rsidR="00BC7E9F" w:rsidRPr="00F47C02" w14:paraId="1E62331D" w14:textId="77777777" w:rsidTr="00156FE1">
        <w:tc>
          <w:tcPr>
            <w:tcW w:w="9242" w:type="dxa"/>
          </w:tcPr>
          <w:p w14:paraId="3CF85859" w14:textId="77777777" w:rsidR="00BC7E9F" w:rsidRPr="00AA4BA0" w:rsidRDefault="005F7A44" w:rsidP="008C07CF">
            <w:r>
              <w:t>With the exception of the four SETAs identified, i</w:t>
            </w:r>
            <w:r w:rsidR="00D61678">
              <w:t xml:space="preserve">t is not possible to state precisely how many actual projects were in place as these were not reported on. </w:t>
            </w:r>
            <w:r w:rsidR="00BE0FD8">
              <w:t>However,</w:t>
            </w:r>
            <w:r w:rsidR="00D61678">
              <w:t xml:space="preserve"> the numbers would have been very few. </w:t>
            </w:r>
            <w:r w:rsidR="00220BE6">
              <w:t xml:space="preserve">High level research was not a priority of </w:t>
            </w:r>
            <w:r w:rsidR="002B1590">
              <w:t>NSDS II</w:t>
            </w:r>
            <w:r w:rsidR="00220BE6">
              <w:t>.</w:t>
            </w:r>
          </w:p>
        </w:tc>
      </w:tr>
    </w:tbl>
    <w:p w14:paraId="384F9EC7" w14:textId="77777777" w:rsidR="00BC7E9F" w:rsidRDefault="00BC7E9F" w:rsidP="008C07CF"/>
    <w:p w14:paraId="618AF775" w14:textId="77777777" w:rsidR="00156FE1" w:rsidRDefault="00156FE1" w:rsidP="008C07CF"/>
    <w:tbl>
      <w:tblPr>
        <w:tblStyle w:val="TableGrid"/>
        <w:tblW w:w="0" w:type="auto"/>
        <w:tblLook w:val="04A0" w:firstRow="1" w:lastRow="0" w:firstColumn="1" w:lastColumn="0" w:noHBand="0" w:noVBand="1"/>
      </w:tblPr>
      <w:tblGrid>
        <w:gridCol w:w="2022"/>
        <w:gridCol w:w="7328"/>
      </w:tblGrid>
      <w:tr w:rsidR="00156FE1" w:rsidRPr="00F47C02" w14:paraId="6FDBA27E" w14:textId="77777777" w:rsidTr="00076022">
        <w:trPr>
          <w:tblHeader/>
        </w:trPr>
        <w:tc>
          <w:tcPr>
            <w:tcW w:w="9350" w:type="dxa"/>
            <w:gridSpan w:val="2"/>
            <w:shd w:val="clear" w:color="auto" w:fill="943634" w:themeFill="accent2" w:themeFillShade="BF"/>
          </w:tcPr>
          <w:p w14:paraId="2B442211" w14:textId="77777777" w:rsidR="00156FE1" w:rsidRPr="003F3AE8" w:rsidRDefault="00156FE1" w:rsidP="008C07CF">
            <w:r w:rsidRPr="00AA4BA0">
              <w:t xml:space="preserve">Output 4.2.4.2: </w:t>
            </w:r>
            <w:r w:rsidRPr="00AA4BA0">
              <w:rPr>
                <w:lang w:val="en-ZA" w:eastAsia="en-ZA"/>
              </w:rPr>
              <w:t xml:space="preserve">Agreements are </w:t>
            </w:r>
            <w:r w:rsidRPr="005564EC">
              <w:rPr>
                <w:lang w:val="en-ZA" w:eastAsia="en-ZA"/>
              </w:rPr>
              <w:t>entered between</w:t>
            </w:r>
            <w:r w:rsidRPr="00AA4BA0">
              <w:rPr>
                <w:lang w:val="en-ZA" w:eastAsia="en-ZA"/>
              </w:rPr>
              <w:t xml:space="preserve"> SETAs, university faculties and other stakeholders on flagship research projects linked to sector development in a knowledge economy.</w:t>
            </w:r>
          </w:p>
        </w:tc>
      </w:tr>
      <w:tr w:rsidR="00156FE1" w:rsidRPr="00F47C02" w14:paraId="1353ABCB" w14:textId="77777777" w:rsidTr="00076022">
        <w:tc>
          <w:tcPr>
            <w:tcW w:w="2022" w:type="dxa"/>
            <w:shd w:val="clear" w:color="auto" w:fill="D9D9D9" w:themeFill="background1" w:themeFillShade="D9"/>
          </w:tcPr>
          <w:p w14:paraId="57F59E14" w14:textId="77777777" w:rsidR="00156FE1" w:rsidRPr="00BA479B" w:rsidRDefault="00156FE1" w:rsidP="008C07CF">
            <w:r w:rsidRPr="00F42CE0">
              <w:rPr>
                <w:lang w:val="en-ZA"/>
              </w:rPr>
              <w:t>How many flagship projects were in place?</w:t>
            </w:r>
          </w:p>
        </w:tc>
        <w:tc>
          <w:tcPr>
            <w:tcW w:w="7328" w:type="dxa"/>
            <w:shd w:val="clear" w:color="auto" w:fill="auto"/>
          </w:tcPr>
          <w:p w14:paraId="04BE4B19" w14:textId="77777777" w:rsidR="00156FE1" w:rsidRPr="00BA479B" w:rsidRDefault="007E7AD1" w:rsidP="008C07CF">
            <w:r>
              <w:rPr>
                <w:lang w:val="en-ZA"/>
              </w:rPr>
              <w:t>There is no evidence found of flagship research projects however, as outlined in output 4.2.4.1, at least four SETAs had some research projects or partnerships</w:t>
            </w:r>
            <w:r w:rsidR="00AA07F6">
              <w:rPr>
                <w:lang w:val="en-ZA"/>
              </w:rPr>
              <w:t xml:space="preserve"> in place</w:t>
            </w:r>
            <w:r w:rsidR="00156FE1">
              <w:rPr>
                <w:lang w:val="en-ZA"/>
              </w:rPr>
              <w:t xml:space="preserve">. There were some partnerships but they were not set up as “flagship” projects and there </w:t>
            </w:r>
            <w:r>
              <w:rPr>
                <w:lang w:val="en-ZA"/>
              </w:rPr>
              <w:t xml:space="preserve">seem to have been </w:t>
            </w:r>
            <w:r w:rsidR="00156FE1">
              <w:rPr>
                <w:lang w:val="en-ZA"/>
              </w:rPr>
              <w:t xml:space="preserve">no intention during </w:t>
            </w:r>
            <w:r w:rsidR="002B1590">
              <w:rPr>
                <w:lang w:val="en-ZA"/>
              </w:rPr>
              <w:t>NSDS II</w:t>
            </w:r>
            <w:r w:rsidR="00156FE1">
              <w:rPr>
                <w:lang w:val="en-ZA"/>
              </w:rPr>
              <w:t xml:space="preserve"> that SETAs should intervene in this manner. </w:t>
            </w:r>
          </w:p>
        </w:tc>
      </w:tr>
      <w:tr w:rsidR="00156FE1" w:rsidRPr="00F47C02" w14:paraId="28704BC8" w14:textId="77777777" w:rsidTr="00076022">
        <w:tc>
          <w:tcPr>
            <w:tcW w:w="2022" w:type="dxa"/>
            <w:shd w:val="clear" w:color="auto" w:fill="D9D9D9" w:themeFill="background1" w:themeFillShade="D9"/>
          </w:tcPr>
          <w:p w14:paraId="0BF23695" w14:textId="77777777" w:rsidR="00156FE1" w:rsidRPr="00BA479B" w:rsidRDefault="00156FE1" w:rsidP="008C07CF">
            <w:r w:rsidRPr="00AA4BA0">
              <w:t>To what extent were any of the SETAs engaging in the knowledge economy?</w:t>
            </w:r>
          </w:p>
        </w:tc>
        <w:tc>
          <w:tcPr>
            <w:tcW w:w="7328" w:type="dxa"/>
            <w:shd w:val="clear" w:color="auto" w:fill="auto"/>
          </w:tcPr>
          <w:p w14:paraId="6624AF91" w14:textId="77777777" w:rsidR="00156FE1" w:rsidRPr="00BA479B" w:rsidRDefault="00156FE1" w:rsidP="008C07CF">
            <w:r>
              <w:t xml:space="preserve">An indication from SETAs annual reports reviewed suggests that to a limited extent, </w:t>
            </w:r>
            <w:r w:rsidRPr="00AA4BA0">
              <w:t xml:space="preserve">SETAs were funding a number of students in graduate and post-graduate </w:t>
            </w:r>
            <w:proofErr w:type="spellStart"/>
            <w:r w:rsidRPr="00AA4BA0">
              <w:t>programmes</w:t>
            </w:r>
            <w:proofErr w:type="spellEnd"/>
            <w:r w:rsidRPr="00AA4BA0">
              <w:t xml:space="preserve">. NSF was reported to have made significant contribution, which </w:t>
            </w:r>
            <w:r>
              <w:t xml:space="preserve">as </w:t>
            </w:r>
            <w:r w:rsidRPr="00F47C02">
              <w:t>per</w:t>
            </w:r>
            <w:r w:rsidRPr="00AA4BA0">
              <w:t xml:space="preserve"> the DHET’s response to parliamentary questions, funded 6 976 undergraduate and 1 200 post-graduate students. In addition, a total of 856 were awarded in partnership with the NRF bursaries to support studies in </w:t>
            </w:r>
            <w:r>
              <w:t>‘</w:t>
            </w:r>
            <w:r w:rsidRPr="00AA4BA0">
              <w:t>critical</w:t>
            </w:r>
            <w:r>
              <w:t>’</w:t>
            </w:r>
            <w:r w:rsidRPr="00AA4BA0">
              <w:t xml:space="preserve"> skills </w:t>
            </w:r>
            <w:r w:rsidRPr="00AA4BA0">
              <w:lastRenderedPageBreak/>
              <w:t>(PMG, 2011</w:t>
            </w:r>
            <w:r>
              <w:t xml:space="preserve">). However, no analysis could be found in relation to the content of what was funded and so the contribution to the knowledge economy </w:t>
            </w:r>
            <w:r w:rsidR="00AA07F6">
              <w:t xml:space="preserve">in 2010 </w:t>
            </w:r>
            <w:r>
              <w:t>cannot be assessed.</w:t>
            </w:r>
          </w:p>
        </w:tc>
      </w:tr>
    </w:tbl>
    <w:p w14:paraId="77180607" w14:textId="77777777" w:rsidR="00156FE1" w:rsidRDefault="00156FE1" w:rsidP="008C07CF"/>
    <w:tbl>
      <w:tblPr>
        <w:tblStyle w:val="TableGrid"/>
        <w:tblW w:w="0" w:type="auto"/>
        <w:tblLook w:val="04A0" w:firstRow="1" w:lastRow="0" w:firstColumn="1" w:lastColumn="0" w:noHBand="0" w:noVBand="1"/>
      </w:tblPr>
      <w:tblGrid>
        <w:gridCol w:w="2022"/>
        <w:gridCol w:w="7328"/>
      </w:tblGrid>
      <w:tr w:rsidR="008D55A7" w:rsidRPr="00F47C02" w14:paraId="3D50C365" w14:textId="77777777" w:rsidTr="00813248">
        <w:trPr>
          <w:tblHeader/>
        </w:trPr>
        <w:tc>
          <w:tcPr>
            <w:tcW w:w="9350" w:type="dxa"/>
            <w:gridSpan w:val="2"/>
            <w:shd w:val="clear" w:color="auto" w:fill="943634" w:themeFill="accent2" w:themeFillShade="BF"/>
          </w:tcPr>
          <w:p w14:paraId="6FAC3A98" w14:textId="77777777" w:rsidR="008D55A7" w:rsidRPr="003F3AE8" w:rsidRDefault="008D55A7" w:rsidP="008C07CF">
            <w:r w:rsidRPr="00F538AF">
              <w:rPr>
                <w:rFonts w:eastAsia="Times New Roman"/>
                <w:shd w:val="clear" w:color="auto" w:fill="943634" w:themeFill="accent2" w:themeFillShade="BF"/>
              </w:rPr>
              <w:t>O</w:t>
            </w:r>
            <w:r w:rsidRPr="00AA4BA0">
              <w:rPr>
                <w:shd w:val="clear" w:color="auto" w:fill="943634" w:themeFill="accent2" w:themeFillShade="BF"/>
              </w:rPr>
              <w:t>utput 4.2.4.3:</w:t>
            </w:r>
            <w:r w:rsidRPr="00AA4BA0">
              <w:rPr>
                <w:shd w:val="clear" w:color="auto" w:fill="943634" w:themeFill="accent2" w:themeFillShade="BF"/>
              </w:rPr>
              <w:tab/>
            </w:r>
            <w:proofErr w:type="spellStart"/>
            <w:r w:rsidRPr="00AA4BA0">
              <w:rPr>
                <w:shd w:val="clear" w:color="auto" w:fill="943634" w:themeFill="accent2" w:themeFillShade="BF"/>
              </w:rPr>
              <w:t>Programmes</w:t>
            </w:r>
            <w:proofErr w:type="spellEnd"/>
            <w:r w:rsidRPr="00AA4BA0">
              <w:rPr>
                <w:shd w:val="clear" w:color="auto" w:fill="943634" w:themeFill="accent2" w:themeFillShade="BF"/>
              </w:rPr>
              <w:t xml:space="preserve"> are put in place that focus on the skills needed to produce research that will be relevant and have an impact on the achievement of economic and skills development goals.</w:t>
            </w:r>
          </w:p>
        </w:tc>
      </w:tr>
      <w:tr w:rsidR="008D55A7" w:rsidRPr="00F47C02" w14:paraId="1B4428FD" w14:textId="77777777" w:rsidTr="00813248">
        <w:tc>
          <w:tcPr>
            <w:tcW w:w="2022" w:type="dxa"/>
            <w:shd w:val="clear" w:color="auto" w:fill="D9D9D9" w:themeFill="background1" w:themeFillShade="D9"/>
          </w:tcPr>
          <w:p w14:paraId="5E64BC00" w14:textId="77777777" w:rsidR="008D55A7" w:rsidRPr="00AA4BA0" w:rsidRDefault="008D55A7" w:rsidP="008C07CF">
            <w:pPr>
              <w:rPr>
                <w:lang w:val="en-ZA"/>
              </w:rPr>
            </w:pPr>
            <w:r w:rsidRPr="00AA4BA0">
              <w:rPr>
                <w:lang w:val="en-ZA"/>
              </w:rPr>
              <w:t>How many projects designed to improve research capacity were in place?</w:t>
            </w:r>
          </w:p>
        </w:tc>
        <w:tc>
          <w:tcPr>
            <w:tcW w:w="7328" w:type="dxa"/>
            <w:shd w:val="clear" w:color="auto" w:fill="auto"/>
          </w:tcPr>
          <w:p w14:paraId="598D42AF" w14:textId="77777777" w:rsidR="008D55A7" w:rsidRPr="00DB457C" w:rsidRDefault="008D55A7" w:rsidP="008C07CF">
            <w:r w:rsidRPr="00DB457C">
              <w:t xml:space="preserve">The Department did not have an established mechanism for </w:t>
            </w:r>
            <w:r>
              <w:t xml:space="preserve">developing </w:t>
            </w:r>
            <w:r w:rsidRPr="00DB457C">
              <w:t>research</w:t>
            </w:r>
            <w:r>
              <w:t xml:space="preserve"> capacity</w:t>
            </w:r>
            <w:r w:rsidRPr="00DB457C">
              <w:t xml:space="preserve">. </w:t>
            </w:r>
            <w:r>
              <w:t xml:space="preserve">The Green Paper on Post School Education and Training, published in 2012, reported that the Department was in the process of developing a model for comprehensive skills planning on </w:t>
            </w:r>
            <w:r w:rsidR="00AA07F6">
              <w:t xml:space="preserve">a </w:t>
            </w:r>
            <w:r>
              <w:t xml:space="preserve">national basis, involving a consortium of research institutions (DHET, 2012). Once established, the nationally </w:t>
            </w:r>
            <w:proofErr w:type="spellStart"/>
            <w:r>
              <w:t>institutionalised</w:t>
            </w:r>
            <w:proofErr w:type="spellEnd"/>
            <w:r>
              <w:t xml:space="preserve"> mechanism would integrate data from other government departments such as the </w:t>
            </w:r>
            <w:proofErr w:type="spellStart"/>
            <w:r>
              <w:t>DoL</w:t>
            </w:r>
            <w:proofErr w:type="spellEnd"/>
            <w:r>
              <w:t xml:space="preserve">, Departments of Home Affairs, Trade and Industry, Science and Technology, Basic Education, Public Service and Administration, Rural Development and Economic Development, and the Statistic South Africa (ibid). One SETA that did conduct research specifically into skills development research was the ETDP SETA where research </w:t>
            </w:r>
            <w:proofErr w:type="spellStart"/>
            <w:r>
              <w:t>organisations</w:t>
            </w:r>
            <w:proofErr w:type="spellEnd"/>
            <w:r>
              <w:t xml:space="preserve"> is a constituency of the SETA. However, the extent to which this research led to specific projects to build research capacity is not clear. As of 2010/11 no major projects of this nature could be identified. Again, it would be unrealistic to expect to find such projects as this was not viewed as a priority during NSDS II.</w:t>
            </w:r>
          </w:p>
        </w:tc>
      </w:tr>
    </w:tbl>
    <w:p w14:paraId="20E53D97" w14:textId="77777777" w:rsidR="008D55A7" w:rsidRPr="00AA4BA0" w:rsidRDefault="008D55A7" w:rsidP="008C07CF"/>
    <w:p w14:paraId="15788EDE" w14:textId="77777777" w:rsidR="00674EAD" w:rsidRDefault="004009F2" w:rsidP="008C07CF">
      <w:r w:rsidRPr="004009F2">
        <w:t>S</w:t>
      </w:r>
      <w:r w:rsidR="00674EAD" w:rsidRPr="00AA4BA0">
        <w:t>ummary</w:t>
      </w:r>
    </w:p>
    <w:p w14:paraId="4D0D994A" w14:textId="77777777" w:rsidR="00BC7E9F" w:rsidRDefault="007E7AD1" w:rsidP="008C07CF">
      <w:r>
        <w:t>The ratio of</w:t>
      </w:r>
      <w:r w:rsidR="00E34D42">
        <w:t xml:space="preserve"> 28</w:t>
      </w:r>
      <w:r>
        <w:t xml:space="preserve"> workers with PhD for every</w:t>
      </w:r>
      <w:r w:rsidR="00E34D42">
        <w:t xml:space="preserve"> 1000 000 people in South Africa was considered very low</w:t>
      </w:r>
      <w:r w:rsidR="002E0719">
        <w:t>,</w:t>
      </w:r>
      <w:r w:rsidR="00E34D42">
        <w:t xml:space="preserve"> and </w:t>
      </w:r>
      <w:r w:rsidR="002E0719">
        <w:t xml:space="preserve">the NDP committed government to </w:t>
      </w:r>
      <w:r w:rsidR="00E34D42">
        <w:t xml:space="preserve">scale-up </w:t>
      </w:r>
      <w:r w:rsidR="002E0719">
        <w:t xml:space="preserve">the production of PhDs </w:t>
      </w:r>
      <w:r w:rsidR="00E34D42">
        <w:t>to at least 100: 1000 000 in 2030. On record, eight SETAs were allocated SIC codes by SARS, focusing on specific resea</w:t>
      </w:r>
      <w:r w:rsidR="002E0719">
        <w:t>rch areas within their sectors</w:t>
      </w:r>
      <w:r w:rsidR="005D59EB">
        <w:t xml:space="preserve">. </w:t>
      </w:r>
      <w:r>
        <w:t>However, there is no evidence that specific research initiatives o</w:t>
      </w:r>
      <w:r w:rsidR="00AA07F6">
        <w:t>f</w:t>
      </w:r>
      <w:r>
        <w:t xml:space="preserve"> projects </w:t>
      </w:r>
      <w:r w:rsidR="00AA07F6">
        <w:t xml:space="preserve">that </w:t>
      </w:r>
      <w:r>
        <w:t>were linked to the stakeholders.</w:t>
      </w:r>
      <w:r w:rsidR="002E0719">
        <w:t xml:space="preserve"> </w:t>
      </w:r>
      <w:r w:rsidR="00AA07F6">
        <w:t>S</w:t>
      </w:r>
      <w:r w:rsidR="005D59EB">
        <w:t xml:space="preserve">everal initiatives were also underway across </w:t>
      </w:r>
      <w:r w:rsidR="00BE0FD8">
        <w:t>several</w:t>
      </w:r>
      <w:r w:rsidR="005D59EB">
        <w:t xml:space="preserve"> SETAs and the NSF although the</w:t>
      </w:r>
      <w:r w:rsidR="00AA07F6">
        <w:t>se</w:t>
      </w:r>
      <w:r w:rsidR="005D59EB">
        <w:t xml:space="preserve"> engagement</w:t>
      </w:r>
      <w:r w:rsidR="00AA07F6">
        <w:t>s were</w:t>
      </w:r>
      <w:r w:rsidR="005D59EB">
        <w:t xml:space="preserve"> </w:t>
      </w:r>
      <w:r>
        <w:t xml:space="preserve">not reported </w:t>
      </w:r>
      <w:r w:rsidR="00AA07F6">
        <w:t>in detail as</w:t>
      </w:r>
      <w:r>
        <w:t xml:space="preserve"> this was not required during NSDS II</w:t>
      </w:r>
      <w:r w:rsidR="005D59EB">
        <w:t xml:space="preserve">. The inadequacies </w:t>
      </w:r>
      <w:r>
        <w:t xml:space="preserve">in reporting but also in research engagement across the SETA landscape </w:t>
      </w:r>
      <w:r w:rsidR="005D59EB">
        <w:t xml:space="preserve">could be </w:t>
      </w:r>
      <w:r w:rsidR="00EB3E02">
        <w:t xml:space="preserve">attributed to the absence of a </w:t>
      </w:r>
      <w:r w:rsidR="007C035E">
        <w:t>national framework</w:t>
      </w:r>
      <w:r w:rsidR="00EB3E02">
        <w:t xml:space="preserve">, which was being developed by </w:t>
      </w:r>
      <w:r w:rsidR="007C035E">
        <w:t>DHET.</w:t>
      </w:r>
    </w:p>
    <w:p w14:paraId="1DBE8008" w14:textId="77777777" w:rsidR="00795C03" w:rsidRDefault="00795C03" w:rsidP="008C07CF">
      <w:pPr>
        <w:pStyle w:val="Heading2"/>
      </w:pPr>
      <w:bookmarkStart w:id="25" w:name="_Toc488525871"/>
      <w:r w:rsidRPr="00AA4BA0">
        <w:rPr>
          <w:rFonts w:cstheme="minorHAnsi"/>
        </w:rPr>
        <w:lastRenderedPageBreak/>
        <w:t xml:space="preserve">Goal 3: </w:t>
      </w:r>
      <w:r w:rsidRPr="00AA4BA0">
        <w:t>Promoting the growth of a public FET college system that is responsive to</w:t>
      </w:r>
      <w:r w:rsidRPr="00795C03">
        <w:t xml:space="preserve"> </w:t>
      </w:r>
      <w:r w:rsidRPr="00AA4BA0">
        <w:t>sector, local, regional and national skills needs and priorities</w:t>
      </w:r>
      <w:bookmarkEnd w:id="25"/>
    </w:p>
    <w:p w14:paraId="304265B5" w14:textId="77777777" w:rsidR="00B97113" w:rsidRPr="00B97113" w:rsidRDefault="00B97113" w:rsidP="008C07CF"/>
    <w:p w14:paraId="7E44B06F" w14:textId="77777777" w:rsidR="00CE7C7E" w:rsidRPr="00AA4BA0" w:rsidRDefault="007B04FA" w:rsidP="008C07CF">
      <w:r w:rsidRPr="00AA4BA0">
        <w:t>Outcome</w:t>
      </w:r>
      <w:r w:rsidR="00CE7C7E" w:rsidRPr="00AA4BA0">
        <w:t xml:space="preserve"> 4.3.1</w:t>
      </w:r>
      <w:r w:rsidR="00674EAD" w:rsidRPr="00AA4BA0">
        <w:t xml:space="preserve">: </w:t>
      </w:r>
      <w:r w:rsidR="00241C7D" w:rsidRPr="00AA4BA0">
        <w:t xml:space="preserve">The National Certificate (Vocational) and N-courses are </w:t>
      </w:r>
      <w:proofErr w:type="spellStart"/>
      <w:r w:rsidR="00241C7D" w:rsidRPr="00AA4BA0">
        <w:t>recognised</w:t>
      </w:r>
      <w:proofErr w:type="spellEnd"/>
      <w:r w:rsidR="00241C7D" w:rsidRPr="00AA4BA0">
        <w:t xml:space="preserve"> by employers as important base qualifications through which young people are obtaining additional vocational skills and work experience, entering the </w:t>
      </w:r>
      <w:proofErr w:type="spellStart"/>
      <w:r w:rsidR="00241C7D" w:rsidRPr="00AA4BA0">
        <w:t>labour</w:t>
      </w:r>
      <w:proofErr w:type="spellEnd"/>
      <w:r w:rsidR="00241C7D" w:rsidRPr="00AA4BA0">
        <w:t xml:space="preserve"> market with marketable skills, and obtaining employment</w:t>
      </w:r>
      <w:r w:rsidRPr="00AA4BA0">
        <w:t xml:space="preserve"> </w:t>
      </w:r>
    </w:p>
    <w:p w14:paraId="2C3190CE" w14:textId="77777777" w:rsidR="00156FE1" w:rsidRDefault="00A35DEB" w:rsidP="008C07CF">
      <w:r w:rsidRPr="00010757">
        <w:t xml:space="preserve">The </w:t>
      </w:r>
      <w:proofErr w:type="spellStart"/>
      <w:r w:rsidRPr="00010757">
        <w:t>programmes</w:t>
      </w:r>
      <w:proofErr w:type="spellEnd"/>
      <w:r w:rsidRPr="00010757">
        <w:t xml:space="preserve"> and qualifications </w:t>
      </w:r>
      <w:r w:rsidR="00010757" w:rsidRPr="00010757">
        <w:t>for vocational t</w:t>
      </w:r>
      <w:r w:rsidR="00010757">
        <w:t>raining in South Africa have ev</w:t>
      </w:r>
      <w:r w:rsidR="00010757" w:rsidRPr="00010757">
        <w:t>olved over many years</w:t>
      </w:r>
      <w:r w:rsidR="001C6464">
        <w:t xml:space="preserve">, and </w:t>
      </w:r>
      <w:r w:rsidR="00010757" w:rsidRPr="00010757">
        <w:t xml:space="preserve">brought about a mix of qualifications which became too complex to </w:t>
      </w:r>
      <w:r w:rsidR="008C07CF" w:rsidRPr="00010757">
        <w:t>admi</w:t>
      </w:r>
      <w:r w:rsidR="008C07CF">
        <w:t>ni</w:t>
      </w:r>
      <w:r w:rsidR="008C07CF" w:rsidRPr="00010757">
        <w:t>ster</w:t>
      </w:r>
      <w:r w:rsidR="008C07CF">
        <w:t xml:space="preserve"> (</w:t>
      </w:r>
      <w:r w:rsidR="008D55A7">
        <w:t>DHET, 2011)</w:t>
      </w:r>
      <w:r w:rsidR="00010757" w:rsidRPr="00010757">
        <w:t xml:space="preserve">. </w:t>
      </w:r>
      <w:r w:rsidRPr="00010757">
        <w:t xml:space="preserve">Until 1994, and for some time back, </w:t>
      </w:r>
      <w:r w:rsidR="008E29B7" w:rsidRPr="00010757">
        <w:t>qualifications</w:t>
      </w:r>
      <w:r w:rsidRPr="00010757">
        <w:t xml:space="preserve"> delivered at FET colleges were </w:t>
      </w:r>
      <w:r w:rsidR="008E29B7" w:rsidRPr="00010757">
        <w:t>anchored</w:t>
      </w:r>
      <w:r w:rsidRPr="00010757">
        <w:t xml:space="preserve"> in the </w:t>
      </w:r>
      <w:proofErr w:type="spellStart"/>
      <w:r w:rsidRPr="00010757">
        <w:t>Nated</w:t>
      </w:r>
      <w:proofErr w:type="spellEnd"/>
      <w:r w:rsidRPr="00010757">
        <w:t xml:space="preserve">/Report 191 </w:t>
      </w:r>
      <w:proofErr w:type="spellStart"/>
      <w:r w:rsidRPr="00010757">
        <w:t>programmes</w:t>
      </w:r>
      <w:proofErr w:type="spellEnd"/>
      <w:r w:rsidRPr="00010757">
        <w:t xml:space="preserve">, and had a successful run. Following the introduction of the NC(V) in 2007, the </w:t>
      </w:r>
      <w:r w:rsidR="00F94128">
        <w:t xml:space="preserve">focus on the NC(V) and the drive to expand enrolments in that core </w:t>
      </w:r>
      <w:proofErr w:type="spellStart"/>
      <w:r w:rsidR="00F94128">
        <w:t>programme</w:t>
      </w:r>
      <w:proofErr w:type="spellEnd"/>
      <w:r w:rsidR="00F94128">
        <w:t xml:space="preserve">, led to </w:t>
      </w:r>
      <w:r w:rsidRPr="00010757">
        <w:t>N-</w:t>
      </w:r>
      <w:proofErr w:type="spellStart"/>
      <w:r w:rsidRPr="00010757">
        <w:t>Programmes</w:t>
      </w:r>
      <w:proofErr w:type="spellEnd"/>
      <w:r w:rsidRPr="00010757">
        <w:t xml:space="preserve"> gradually </w:t>
      </w:r>
      <w:r w:rsidR="00F94128">
        <w:t>having their funding reduced</w:t>
      </w:r>
      <w:r w:rsidRPr="00010757">
        <w:t xml:space="preserve">, </w:t>
      </w:r>
      <w:r w:rsidR="00F94128">
        <w:t>resulting in</w:t>
      </w:r>
      <w:r w:rsidR="00034882">
        <w:t xml:space="preserve"> declining </w:t>
      </w:r>
      <w:r w:rsidR="00F94128">
        <w:t xml:space="preserve">quality and reduced </w:t>
      </w:r>
      <w:r w:rsidR="00034882">
        <w:t>enrolment</w:t>
      </w:r>
      <w:r w:rsidR="00F94128">
        <w:t>s</w:t>
      </w:r>
      <w:r w:rsidRPr="00010757">
        <w:t xml:space="preserve">. </w:t>
      </w:r>
      <w:r w:rsidR="001C6464">
        <w:t xml:space="preserve">In 2011, the total </w:t>
      </w:r>
      <w:r w:rsidR="008E29B7">
        <w:t>enrolment</w:t>
      </w:r>
      <w:r w:rsidR="001C6464">
        <w:t xml:space="preserve"> was as low as 300</w:t>
      </w:r>
      <w:r w:rsidR="00E47CA2">
        <w:t> </w:t>
      </w:r>
      <w:r w:rsidR="001C6464">
        <w:t>000</w:t>
      </w:r>
      <w:r w:rsidR="00E47CA2">
        <w:t>, against a target of 1 million in 2016 and 2.5 million in 2030 NDP (</w:t>
      </w:r>
      <w:proofErr w:type="spellStart"/>
      <w:r w:rsidR="00E47CA2">
        <w:t>Labour</w:t>
      </w:r>
      <w:proofErr w:type="spellEnd"/>
      <w:r w:rsidR="00E47CA2">
        <w:t xml:space="preserve"> Market Intelligence Partnerships</w:t>
      </w:r>
      <w:r w:rsidR="00D17850">
        <w:t>,</w:t>
      </w:r>
      <w:r w:rsidR="00E47CA2">
        <w:t xml:space="preserve"> 2016)</w:t>
      </w:r>
      <w:r w:rsidR="001C6464">
        <w:t xml:space="preserve">. </w:t>
      </w:r>
      <w:r w:rsidR="00F94128">
        <w:t xml:space="preserve">What became apparent during the period of the formation of the new Department in 2009/10 was that the NC(V) did not have employer buy-in and although the </w:t>
      </w:r>
      <w:proofErr w:type="spellStart"/>
      <w:r w:rsidR="00F94128">
        <w:t>Nated</w:t>
      </w:r>
      <w:proofErr w:type="spellEnd"/>
      <w:r w:rsidR="00F94128">
        <w:t xml:space="preserve"> courses were considered out of date and overly theoretical they still had some traction in the </w:t>
      </w:r>
      <w:proofErr w:type="spellStart"/>
      <w:r w:rsidR="00F94128">
        <w:t>labour</w:t>
      </w:r>
      <w:proofErr w:type="spellEnd"/>
      <w:r w:rsidR="00F94128">
        <w:t xml:space="preserve"> market. Employers saw the </w:t>
      </w:r>
      <w:proofErr w:type="spellStart"/>
      <w:r w:rsidR="00F94128">
        <w:t>Nated</w:t>
      </w:r>
      <w:proofErr w:type="spellEnd"/>
      <w:r w:rsidR="00F94128">
        <w:t xml:space="preserve"> courses as a good indicator of an interest in certain work processes (mainly semi-skilled occupations) and as an entry qualification to an apprenticeship or </w:t>
      </w:r>
      <w:proofErr w:type="spellStart"/>
      <w:r w:rsidR="00F94128">
        <w:t>learnership</w:t>
      </w:r>
      <w:proofErr w:type="spellEnd"/>
      <w:r w:rsidR="00F94128">
        <w:t>. The period from 2007 to 2010 was one of a conflict between a well-intended pol</w:t>
      </w:r>
      <w:r w:rsidR="00F637F4">
        <w:t xml:space="preserve">icy (implementation of the NCV) and the expressed views of employers who signaled the need for a reformed </w:t>
      </w:r>
      <w:proofErr w:type="spellStart"/>
      <w:r w:rsidR="00F637F4">
        <w:t>Nated</w:t>
      </w:r>
      <w:proofErr w:type="spellEnd"/>
      <w:r w:rsidR="00F637F4">
        <w:t xml:space="preserve"> </w:t>
      </w:r>
      <w:proofErr w:type="spellStart"/>
      <w:r w:rsidR="00F637F4">
        <w:t>programme</w:t>
      </w:r>
      <w:proofErr w:type="spellEnd"/>
      <w:r w:rsidR="00F637F4">
        <w:t xml:space="preserve"> or occupational qualifications rather than the NCV. Incoming Minister and Director</w:t>
      </w:r>
      <w:r w:rsidR="00BD2257">
        <w:t>-</w:t>
      </w:r>
      <w:r w:rsidR="00F637F4">
        <w:t xml:space="preserve">General recognized the crisis that existed in FET college provision as is evidenced by the focus on this in </w:t>
      </w:r>
      <w:r w:rsidR="002B1590">
        <w:t>NSDS III</w:t>
      </w:r>
      <w:r w:rsidR="00F637F4">
        <w:t xml:space="preserve">. </w:t>
      </w:r>
      <w:r w:rsidR="00010757" w:rsidRPr="00010757">
        <w:t>The confusion</w:t>
      </w:r>
      <w:r w:rsidR="001C6464">
        <w:t xml:space="preserve"> and the declining status and quality</w:t>
      </w:r>
      <w:r w:rsidR="00010757" w:rsidRPr="00010757">
        <w:t xml:space="preserve"> led to a call </w:t>
      </w:r>
      <w:r w:rsidR="009927D3">
        <w:t xml:space="preserve">for an inclusive process </w:t>
      </w:r>
      <w:r w:rsidR="00010757" w:rsidRPr="00010757">
        <w:t xml:space="preserve">for </w:t>
      </w:r>
      <w:r w:rsidR="009927D3">
        <w:t xml:space="preserve">its reform through an honest </w:t>
      </w:r>
      <w:r w:rsidR="001C6464">
        <w:t>engage</w:t>
      </w:r>
      <w:r w:rsidR="009927D3">
        <w:t>ment with</w:t>
      </w:r>
      <w:r w:rsidR="001C6464">
        <w:t xml:space="preserve"> key </w:t>
      </w:r>
      <w:r w:rsidR="00010757" w:rsidRPr="00010757">
        <w:t>stakeholders</w:t>
      </w:r>
      <w:r w:rsidR="00010757">
        <w:t xml:space="preserve"> (DHET, 2011)</w:t>
      </w:r>
      <w:r w:rsidR="00010757" w:rsidRPr="00010757">
        <w:t xml:space="preserve">. </w:t>
      </w:r>
    </w:p>
    <w:tbl>
      <w:tblPr>
        <w:tblStyle w:val="TableGrid"/>
        <w:tblW w:w="0" w:type="auto"/>
        <w:tblLook w:val="04A0" w:firstRow="1" w:lastRow="0" w:firstColumn="1" w:lastColumn="0" w:noHBand="0" w:noVBand="1"/>
      </w:tblPr>
      <w:tblGrid>
        <w:gridCol w:w="2022"/>
        <w:gridCol w:w="7328"/>
      </w:tblGrid>
      <w:tr w:rsidR="00156FE1" w:rsidRPr="00F47C02" w14:paraId="2F53C063" w14:textId="77777777" w:rsidTr="00076022">
        <w:trPr>
          <w:tblHeader/>
        </w:trPr>
        <w:tc>
          <w:tcPr>
            <w:tcW w:w="9350" w:type="dxa"/>
            <w:gridSpan w:val="2"/>
            <w:shd w:val="clear" w:color="auto" w:fill="943634" w:themeFill="accent2" w:themeFillShade="BF"/>
          </w:tcPr>
          <w:p w14:paraId="048CF9B1" w14:textId="77777777" w:rsidR="00156FE1" w:rsidRPr="003F3AE8" w:rsidRDefault="00156FE1" w:rsidP="008C07CF">
            <w:r w:rsidRPr="00AA4BA0">
              <w:t>Output 4.3.1.1:</w:t>
            </w:r>
            <w:r w:rsidRPr="00AA4BA0">
              <w:tab/>
            </w:r>
            <w:r w:rsidRPr="00AA4BA0">
              <w:rPr>
                <w:lang w:val="en-ZA" w:eastAsia="en-ZA"/>
              </w:rPr>
              <w:t>The NCV is reviewed with inputs from stakeholders and the curriculum is revised to ensure that it provides a sound foundational basis for building labour market relevant skills.</w:t>
            </w:r>
          </w:p>
        </w:tc>
      </w:tr>
      <w:tr w:rsidR="00156FE1" w:rsidRPr="00F47C02" w14:paraId="0C6DBD24" w14:textId="77777777" w:rsidTr="00076022">
        <w:tc>
          <w:tcPr>
            <w:tcW w:w="2022" w:type="dxa"/>
            <w:shd w:val="clear" w:color="auto" w:fill="D9D9D9" w:themeFill="background1" w:themeFillShade="D9"/>
          </w:tcPr>
          <w:p w14:paraId="3B085B93" w14:textId="77777777" w:rsidR="00156FE1" w:rsidRPr="00AA4BA0" w:rsidRDefault="00156FE1" w:rsidP="008C07CF">
            <w:pPr>
              <w:rPr>
                <w:rFonts w:eastAsia="Times New Roman"/>
                <w:lang w:val="en-ZA"/>
              </w:rPr>
            </w:pPr>
            <w:r w:rsidRPr="00AA4BA0">
              <w:t>What was the status of the NCV?</w:t>
            </w:r>
          </w:p>
        </w:tc>
        <w:tc>
          <w:tcPr>
            <w:tcW w:w="7328" w:type="dxa"/>
            <w:shd w:val="clear" w:color="auto" w:fill="auto"/>
          </w:tcPr>
          <w:p w14:paraId="4AADE66D" w14:textId="77777777" w:rsidR="00156FE1" w:rsidRPr="00DB457C" w:rsidRDefault="00156FE1" w:rsidP="008C07CF">
            <w:r w:rsidRPr="00AA4BA0">
              <w:t>NC(V) was introduced in 2007 and offered at NQF level 2, 3 and 4 at the formerly FET colleges, and in some private colleges. It was introduced at the time when N-Courses, which were reportedly developed by industry partners were being phased out of colleges. (DHET, 2006). Structurally, NC(V) was understood to have dual outcomes. On the one hand, it enrolled learners who had passed Grade 9</w:t>
            </w:r>
            <w:r>
              <w:t xml:space="preserve"> – which was the intention. However, the practice became one where many </w:t>
            </w:r>
            <w:r w:rsidRPr="00AA4BA0">
              <w:t xml:space="preserve">of those who </w:t>
            </w:r>
            <w:r>
              <w:t xml:space="preserve">enrolled </w:t>
            </w:r>
            <w:r>
              <w:lastRenderedPageBreak/>
              <w:t xml:space="preserve">in the NC(V) </w:t>
            </w:r>
            <w:r w:rsidRPr="00AA4BA0">
              <w:t xml:space="preserve">had </w:t>
            </w:r>
            <w:r>
              <w:t xml:space="preserve">studied in school to </w:t>
            </w:r>
            <w:r w:rsidRPr="00AA4BA0">
              <w:t xml:space="preserve">grade 12. In 2009, about 50% </w:t>
            </w:r>
            <w:r>
              <w:t xml:space="preserve">of </w:t>
            </w:r>
            <w:r w:rsidRPr="00AA4BA0">
              <w:t xml:space="preserve">students enrolled in TVET colleges had Grade 12. </w:t>
            </w:r>
            <w:r>
              <w:t>So, on the one hand the NC(V) was viewed</w:t>
            </w:r>
            <w:r w:rsidRPr="00AA4BA0">
              <w:t xml:space="preserve"> as an alternative to National Senior Certificate (NSC)</w:t>
            </w:r>
            <w:r>
              <w:t>.</w:t>
            </w:r>
            <w:r w:rsidRPr="00AA4BA0">
              <w:t xml:space="preserve"> </w:t>
            </w:r>
            <w:r>
              <w:t xml:space="preserve">On the other hand, in practice it was becoming a “second chance” for those who had completed Grade 12 but not obtained a university place. </w:t>
            </w:r>
            <w:r w:rsidRPr="000E2CB3">
              <w:t>However,</w:t>
            </w:r>
            <w:r w:rsidRPr="00AA4BA0">
              <w:t xml:space="preserve"> some universities were reportedly not </w:t>
            </w:r>
            <w:proofErr w:type="spellStart"/>
            <w:r w:rsidRPr="00AA4BA0">
              <w:t>recognising</w:t>
            </w:r>
            <w:proofErr w:type="spellEnd"/>
            <w:r w:rsidRPr="00AA4BA0">
              <w:t xml:space="preserve"> NC(V) graduates, except where an agreement between institutions existed. In 2010, the total enrolment for NC(V) was 130 039 across all FET colleges (DHET, 2013). </w:t>
            </w:r>
            <w:r>
              <w:t xml:space="preserve">The </w:t>
            </w:r>
            <w:r w:rsidRPr="000E2CB3">
              <w:t>Labor</w:t>
            </w:r>
            <w:r w:rsidRPr="00AA4BA0">
              <w:t xml:space="preserve"> Market Intelligence Partnership </w:t>
            </w:r>
            <w:r>
              <w:t>(LMIP) reported that</w:t>
            </w:r>
            <w:r w:rsidRPr="00AA4BA0">
              <w:t xml:space="preserve"> the total number of learners who wrote Level 4 exams was 9 576 (DHET, 201</w:t>
            </w:r>
            <w:r>
              <w:t>3</w:t>
            </w:r>
            <w:r w:rsidRPr="00AA4BA0">
              <w:t>).</w:t>
            </w:r>
          </w:p>
        </w:tc>
      </w:tr>
      <w:tr w:rsidR="00156FE1" w:rsidRPr="00F47C02" w14:paraId="008F2277" w14:textId="77777777" w:rsidTr="00076022">
        <w:tc>
          <w:tcPr>
            <w:tcW w:w="2022" w:type="dxa"/>
            <w:shd w:val="clear" w:color="auto" w:fill="D9D9D9" w:themeFill="background1" w:themeFillShade="D9"/>
          </w:tcPr>
          <w:p w14:paraId="68FDC3E0" w14:textId="77777777" w:rsidR="00156FE1" w:rsidRPr="00AA4BA0" w:rsidRDefault="00156FE1" w:rsidP="008C07CF">
            <w:r w:rsidRPr="00AA4BA0">
              <w:lastRenderedPageBreak/>
              <w:t xml:space="preserve">To what extent was the NC(V) a </w:t>
            </w:r>
            <w:r w:rsidRPr="00F47C02">
              <w:t>recognized</w:t>
            </w:r>
            <w:r w:rsidRPr="00AA4BA0">
              <w:t xml:space="preserve"> qualification in the </w:t>
            </w:r>
            <w:proofErr w:type="spellStart"/>
            <w:r w:rsidRPr="00AA4BA0">
              <w:t>labour</w:t>
            </w:r>
            <w:proofErr w:type="spellEnd"/>
            <w:r w:rsidRPr="00AA4BA0">
              <w:t xml:space="preserve"> market?</w:t>
            </w:r>
          </w:p>
        </w:tc>
        <w:tc>
          <w:tcPr>
            <w:tcW w:w="7328" w:type="dxa"/>
            <w:shd w:val="clear" w:color="auto" w:fill="auto"/>
          </w:tcPr>
          <w:p w14:paraId="6A50523F" w14:textId="77777777" w:rsidR="00156FE1" w:rsidRDefault="00156FE1" w:rsidP="008C07CF">
            <w:r w:rsidRPr="00AA07F6">
              <w:t>According to an on-line publication by EE Publisher (</w:t>
            </w:r>
            <w:proofErr w:type="spellStart"/>
            <w:r w:rsidRPr="00AA07F6">
              <w:t>n.d</w:t>
            </w:r>
            <w:proofErr w:type="spellEnd"/>
            <w:r w:rsidRPr="00AA07F6">
              <w:t xml:space="preserve">) on the status of NQF level 4 qualifications, some employers viewed it as not adequate and were reported to have complained that graduates with the NC(V) were less well equipped to enter an artisan trade than those who had acquired a </w:t>
            </w:r>
            <w:proofErr w:type="spellStart"/>
            <w:r w:rsidRPr="00AA07F6">
              <w:t>Nated</w:t>
            </w:r>
            <w:proofErr w:type="spellEnd"/>
            <w:r w:rsidRPr="00AA07F6">
              <w:t xml:space="preserve"> qualification. One of the challenges surrounding NC(V) was the lack of its immediate acceptance as part of the national education and training systems. Other reasons included among others</w:t>
            </w:r>
            <w:r>
              <w:t>:</w:t>
            </w:r>
            <w:r w:rsidRPr="00AA4BA0">
              <w:t xml:space="preserve"> </w:t>
            </w:r>
          </w:p>
          <w:p w14:paraId="26702DFA" w14:textId="77777777" w:rsidR="00156FE1" w:rsidRDefault="00156FE1" w:rsidP="008C07CF">
            <w:pPr>
              <w:pStyle w:val="ListParagraph"/>
              <w:numPr>
                <w:ilvl w:val="0"/>
                <w:numId w:val="35"/>
              </w:numPr>
            </w:pPr>
            <w:r>
              <w:t>T</w:t>
            </w:r>
            <w:r w:rsidRPr="000537CC">
              <w:t xml:space="preserve">hat it did not grow out of an existing system </w:t>
            </w:r>
            <w:r w:rsidR="00483776">
              <w:t>in</w:t>
            </w:r>
            <w:r w:rsidRPr="000537CC">
              <w:t xml:space="preserve"> the way NSC did from old Senior Certificate</w:t>
            </w:r>
            <w:r>
              <w:t>;</w:t>
            </w:r>
          </w:p>
          <w:p w14:paraId="38A0A9A9" w14:textId="77777777" w:rsidR="00156FE1" w:rsidRDefault="00156FE1" w:rsidP="008C07CF">
            <w:pPr>
              <w:pStyle w:val="ListParagraph"/>
              <w:numPr>
                <w:ilvl w:val="0"/>
                <w:numId w:val="35"/>
              </w:numPr>
            </w:pPr>
            <w:r>
              <w:t>E</w:t>
            </w:r>
            <w:r w:rsidRPr="000537CC">
              <w:t xml:space="preserve">mployers appear to regard themselves as not having been sufficiently involved in its development; </w:t>
            </w:r>
          </w:p>
          <w:p w14:paraId="06998A12" w14:textId="77777777" w:rsidR="00156FE1" w:rsidRDefault="00156FE1" w:rsidP="008C07CF">
            <w:pPr>
              <w:pStyle w:val="ListParagraph"/>
              <w:numPr>
                <w:ilvl w:val="0"/>
                <w:numId w:val="35"/>
              </w:numPr>
            </w:pPr>
            <w:r>
              <w:t>T</w:t>
            </w:r>
            <w:r w:rsidRPr="000537CC">
              <w:t xml:space="preserve">he time to complete makes it unattractive to industry; and </w:t>
            </w:r>
          </w:p>
          <w:p w14:paraId="4B528791" w14:textId="77777777" w:rsidR="00156FE1" w:rsidRDefault="00156FE1" w:rsidP="008C07CF">
            <w:pPr>
              <w:pStyle w:val="ListParagraph"/>
              <w:numPr>
                <w:ilvl w:val="0"/>
                <w:numId w:val="35"/>
              </w:numPr>
            </w:pPr>
            <w:r>
              <w:t>T</w:t>
            </w:r>
            <w:r w:rsidRPr="000537CC">
              <w:t xml:space="preserve">hat it was neither a general education qualification nor a purposeful qualification that signifies something specific for the </w:t>
            </w:r>
            <w:proofErr w:type="spellStart"/>
            <w:r w:rsidRPr="000537CC">
              <w:t>labour</w:t>
            </w:r>
            <w:proofErr w:type="spellEnd"/>
            <w:r w:rsidRPr="000537CC">
              <w:t xml:space="preserve"> market (DHET, 2006). </w:t>
            </w:r>
          </w:p>
          <w:p w14:paraId="382793E7" w14:textId="77777777" w:rsidR="00156FE1" w:rsidRDefault="00156FE1" w:rsidP="008C07CF"/>
          <w:p w14:paraId="6161D0AB" w14:textId="77777777" w:rsidR="00156FE1" w:rsidRPr="00AA4BA0" w:rsidRDefault="00156FE1" w:rsidP="008C07CF">
            <w:r w:rsidRPr="000537CC">
              <w:t>In retrospect, there were unrealistic expectation of the NC(V). It was never intended to be a recognized qualification other than an alternative (technical) equivalent of a NSC</w:t>
            </w:r>
            <w:r>
              <w:t xml:space="preserve"> (Grade 12/Matric)</w:t>
            </w:r>
            <w:r w:rsidRPr="000537CC">
              <w:t>.  Employers complained that it did not provide them with skilled artisans, but this was an unrealistic expectation. In 2010 it was however too early for there to be any judgement as to whether it was working as a technical route to an NSC. What can be said is that the NC(V) started life with very limited buy</w:t>
            </w:r>
            <w:r>
              <w:t>-</w:t>
            </w:r>
            <w:r w:rsidRPr="000537CC">
              <w:t xml:space="preserve">in from </w:t>
            </w:r>
            <w:proofErr w:type="spellStart"/>
            <w:r w:rsidRPr="000537CC">
              <w:t>labour</w:t>
            </w:r>
            <w:proofErr w:type="spellEnd"/>
            <w:r w:rsidRPr="000537CC">
              <w:t xml:space="preserve"> market stakeholders.</w:t>
            </w:r>
          </w:p>
        </w:tc>
      </w:tr>
    </w:tbl>
    <w:p w14:paraId="0E29E9C1" w14:textId="77777777" w:rsidR="008061F8" w:rsidRDefault="008061F8" w:rsidP="008C07CF">
      <w:pPr>
        <w:rPr>
          <w:highlight w:val="green"/>
        </w:rPr>
      </w:pPr>
    </w:p>
    <w:tbl>
      <w:tblPr>
        <w:tblStyle w:val="TableGrid"/>
        <w:tblW w:w="0" w:type="auto"/>
        <w:tblLook w:val="04A0" w:firstRow="1" w:lastRow="0" w:firstColumn="1" w:lastColumn="0" w:noHBand="0" w:noVBand="1"/>
      </w:tblPr>
      <w:tblGrid>
        <w:gridCol w:w="2022"/>
        <w:gridCol w:w="7328"/>
      </w:tblGrid>
      <w:tr w:rsidR="008D55A7" w:rsidRPr="00F47C02" w14:paraId="42291A2D" w14:textId="77777777" w:rsidTr="00813248">
        <w:trPr>
          <w:tblHeader/>
        </w:trPr>
        <w:tc>
          <w:tcPr>
            <w:tcW w:w="9350" w:type="dxa"/>
            <w:gridSpan w:val="2"/>
            <w:shd w:val="clear" w:color="auto" w:fill="943634" w:themeFill="accent2" w:themeFillShade="BF"/>
          </w:tcPr>
          <w:p w14:paraId="78F93F44" w14:textId="77777777" w:rsidR="008D55A7" w:rsidRPr="005564EC" w:rsidRDefault="008D55A7" w:rsidP="008C07CF">
            <w:pPr>
              <w:rPr>
                <w:lang w:val="en-ZA"/>
              </w:rPr>
            </w:pPr>
            <w:r w:rsidRPr="00AA4BA0">
              <w:lastRenderedPageBreak/>
              <w:t xml:space="preserve">Output 4.3.1.2 </w:t>
            </w:r>
            <w:r w:rsidRPr="00AA4BA0">
              <w:rPr>
                <w:lang w:val="en-ZA"/>
              </w:rPr>
              <w:t>The programmes offered to meet industry needs, including those supporting</w:t>
            </w:r>
          </w:p>
          <w:p w14:paraId="0CFD1B37" w14:textId="77777777" w:rsidR="008D55A7" w:rsidRPr="005564EC" w:rsidRDefault="008D55A7" w:rsidP="008C07CF">
            <w:pPr>
              <w:rPr>
                <w:lang w:val="en-ZA"/>
              </w:rPr>
            </w:pPr>
            <w:r w:rsidRPr="00AA4BA0">
              <w:rPr>
                <w:lang w:val="en-ZA"/>
              </w:rPr>
              <w:t>apprenticeships and N-courses, are reviewed, updated and made available to and accessed by</w:t>
            </w:r>
          </w:p>
          <w:p w14:paraId="6509C074" w14:textId="77777777" w:rsidR="008D55A7" w:rsidRPr="003F3AE8" w:rsidRDefault="008D55A7" w:rsidP="008C07CF">
            <w:r w:rsidRPr="00AA4BA0">
              <w:rPr>
                <w:lang w:val="en-ZA"/>
              </w:rPr>
              <w:t>employers.</w:t>
            </w:r>
          </w:p>
        </w:tc>
      </w:tr>
      <w:tr w:rsidR="008D55A7" w:rsidRPr="00F47C02" w14:paraId="4AD98138" w14:textId="77777777" w:rsidTr="00813248">
        <w:tc>
          <w:tcPr>
            <w:tcW w:w="2022" w:type="dxa"/>
            <w:shd w:val="clear" w:color="auto" w:fill="D9D9D9" w:themeFill="background1" w:themeFillShade="D9"/>
          </w:tcPr>
          <w:p w14:paraId="3DDE09BD" w14:textId="77777777" w:rsidR="008D55A7" w:rsidRPr="00AA4BA0" w:rsidRDefault="008D55A7" w:rsidP="008C07CF">
            <w:r w:rsidRPr="00AA4BA0">
              <w:t>What was the status of N-Courses in relation to industry expectations?</w:t>
            </w:r>
          </w:p>
        </w:tc>
        <w:tc>
          <w:tcPr>
            <w:tcW w:w="7328" w:type="dxa"/>
            <w:shd w:val="clear" w:color="auto" w:fill="auto"/>
          </w:tcPr>
          <w:p w14:paraId="0A2865E4" w14:textId="12E8FD39" w:rsidR="008D55A7" w:rsidRPr="00AA4BA0" w:rsidRDefault="008D55A7" w:rsidP="008C07CF">
            <w:r>
              <w:t xml:space="preserve">The industry-orientated history of </w:t>
            </w:r>
            <w:proofErr w:type="spellStart"/>
            <w:r>
              <w:t>Nated</w:t>
            </w:r>
            <w:proofErr w:type="spellEnd"/>
            <w:r>
              <w:t xml:space="preserve"> can be traced back to pre-1994. Considered anchor qualifications, the courses were offered in trimesters at what </w:t>
            </w:r>
            <w:r w:rsidR="00A3670B">
              <w:t xml:space="preserve">were </w:t>
            </w:r>
            <w:r>
              <w:t xml:space="preserve">then called technical colleges (now TVET colleges) in partnership with the industry. </w:t>
            </w:r>
            <w:proofErr w:type="spellStart"/>
            <w:r>
              <w:t>Organised</w:t>
            </w:r>
            <w:proofErr w:type="spellEnd"/>
            <w:r>
              <w:t xml:space="preserve"> on a 1:3 </w:t>
            </w:r>
            <w:proofErr w:type="gramStart"/>
            <w:r>
              <w:t>ratio</w:t>
            </w:r>
            <w:proofErr w:type="gramEnd"/>
            <w:r>
              <w:t xml:space="preserve">, students spent one trimester at the college and two in a practical workplace.  Learners were given the opportunity to develop their theoretical understanding whilst simultaneously adapting to work environment. An apparent neglect of the qualification and the employers’ growing lack of confidence in the quality of the curriculum led to the decline in the </w:t>
            </w:r>
            <w:proofErr w:type="spellStart"/>
            <w:r>
              <w:t>programmes</w:t>
            </w:r>
            <w:proofErr w:type="spellEnd"/>
            <w:r>
              <w:t xml:space="preserve"> offerings (White Paper on PSET, 2013). The qualifying rate of apprentices as artisans declined drastically, from 12 933 in 1985 to a paltry 3 960 in 2004 (</w:t>
            </w:r>
            <w:proofErr w:type="spellStart"/>
            <w:r>
              <w:t>DoL</w:t>
            </w:r>
            <w:proofErr w:type="spellEnd"/>
            <w:r>
              <w:t xml:space="preserve">, 2008). Owing to the decline in number of apprenticeships, colleges began offering the courses without work experience, leading to overly theoretical curriculum without opportunities for practical work </w:t>
            </w:r>
            <w:r w:rsidRPr="006C4806">
              <w:rPr>
                <w:lang w:val="en-ZA"/>
              </w:rPr>
              <w:t>(</w:t>
            </w:r>
            <w:proofErr w:type="spellStart"/>
            <w:r w:rsidRPr="006C4806">
              <w:rPr>
                <w:lang w:val="en-ZA"/>
              </w:rPr>
              <w:t>Wedekind</w:t>
            </w:r>
            <w:proofErr w:type="spellEnd"/>
            <w:r>
              <w:t xml:space="preserve"> et al, 2016). </w:t>
            </w:r>
            <w:proofErr w:type="spellStart"/>
            <w:r>
              <w:t>Nated</w:t>
            </w:r>
            <w:proofErr w:type="spellEnd"/>
            <w:r>
              <w:t xml:space="preserve"> qualifications became entry requirements for an apprenticeship rather than being directly linked to one. </w:t>
            </w:r>
          </w:p>
        </w:tc>
      </w:tr>
      <w:tr w:rsidR="008D55A7" w:rsidRPr="00F47C02" w14:paraId="473C8602" w14:textId="77777777" w:rsidTr="00813248">
        <w:tc>
          <w:tcPr>
            <w:tcW w:w="2022" w:type="dxa"/>
            <w:shd w:val="clear" w:color="auto" w:fill="D9D9D9" w:themeFill="background1" w:themeFillShade="D9"/>
          </w:tcPr>
          <w:p w14:paraId="153F0D53" w14:textId="77777777" w:rsidR="008D55A7" w:rsidRPr="00AA4BA0" w:rsidRDefault="008D55A7" w:rsidP="008C07CF">
            <w:r w:rsidRPr="00AA4BA0">
              <w:t>To what extent were N-</w:t>
            </w:r>
            <w:proofErr w:type="spellStart"/>
            <w:r w:rsidRPr="00AA4BA0">
              <w:t>programmes</w:t>
            </w:r>
            <w:proofErr w:type="spellEnd"/>
            <w:r w:rsidRPr="00AA4BA0">
              <w:t xml:space="preserve"> being accessed by employers and workers?</w:t>
            </w:r>
          </w:p>
        </w:tc>
        <w:tc>
          <w:tcPr>
            <w:tcW w:w="7328" w:type="dxa"/>
            <w:shd w:val="clear" w:color="auto" w:fill="auto"/>
          </w:tcPr>
          <w:p w14:paraId="2EEEE3AC" w14:textId="77777777" w:rsidR="00483776" w:rsidRDefault="008D55A7" w:rsidP="008C07CF">
            <w:r>
              <w:t xml:space="preserve">Historically there was a symbiotic relationship between the industry and colleges in </w:t>
            </w:r>
            <w:proofErr w:type="spellStart"/>
            <w:r>
              <w:t>programme</w:t>
            </w:r>
            <w:proofErr w:type="spellEnd"/>
            <w:r>
              <w:t xml:space="preserve"> offering. Typically, the courses would be offered in three </w:t>
            </w:r>
            <w:proofErr w:type="gramStart"/>
            <w:r>
              <w:t>months</w:t>
            </w:r>
            <w:proofErr w:type="gramEnd"/>
            <w:r>
              <w:t xml:space="preserve"> blocks, which allowed artisans in training to be released from their work commitments in order to complete the theory courses. Pedagogically, lecturers were not necessarily qualified teachers. Mostly, they were </w:t>
            </w:r>
            <w:r w:rsidR="00483776">
              <w:t>i</w:t>
            </w:r>
            <w:r>
              <w:t>ndustry-based qualified artisans “who maintained a primary identification with their trades rather than with the education” (</w:t>
            </w:r>
            <w:proofErr w:type="spellStart"/>
            <w:r>
              <w:t>Wedekind</w:t>
            </w:r>
            <w:proofErr w:type="spellEnd"/>
            <w:r>
              <w:t xml:space="preserve">, 2016). However, over the period from 2000 to 2010 the number of artisan qualified lecturers declined and </w:t>
            </w:r>
            <w:proofErr w:type="spellStart"/>
            <w:r>
              <w:t>programmes</w:t>
            </w:r>
            <w:proofErr w:type="spellEnd"/>
            <w:r>
              <w:t xml:space="preserve"> tended to be theoretical and delinked from work place training. Although N-</w:t>
            </w:r>
            <w:proofErr w:type="spellStart"/>
            <w:r>
              <w:t>programmes</w:t>
            </w:r>
            <w:proofErr w:type="spellEnd"/>
            <w:r>
              <w:t xml:space="preserve"> continued to be available and accessible to employers and workers, it</w:t>
            </w:r>
            <w:r w:rsidR="00483776">
              <w:t>s</w:t>
            </w:r>
            <w:r>
              <w:t xml:space="preserve"> symbiotic relationship </w:t>
            </w:r>
            <w:r w:rsidR="00483776">
              <w:t xml:space="preserve">with employers </w:t>
            </w:r>
            <w:r>
              <w:t>ceased to exist in many respects</w:t>
            </w:r>
            <w:r w:rsidR="00483776">
              <w:t xml:space="preserve">. The </w:t>
            </w:r>
            <w:proofErr w:type="spellStart"/>
            <w:r w:rsidR="00483776">
              <w:t>Nated</w:t>
            </w:r>
            <w:proofErr w:type="spellEnd"/>
            <w:r w:rsidR="00483776">
              <w:t xml:space="preserve"> </w:t>
            </w:r>
            <w:proofErr w:type="spellStart"/>
            <w:r w:rsidR="00483776">
              <w:t>programmes</w:t>
            </w:r>
            <w:proofErr w:type="spellEnd"/>
            <w:r w:rsidR="00483776">
              <w:t xml:space="preserve"> had not been reviewed since the 1980s and had not kept up with developments in industry, and so its value</w:t>
            </w:r>
            <w:r>
              <w:t xml:space="preserve"> </w:t>
            </w:r>
            <w:r w:rsidR="00483776">
              <w:t xml:space="preserve">was </w:t>
            </w:r>
            <w:r>
              <w:t xml:space="preserve">reduced for employers and workers. </w:t>
            </w:r>
          </w:p>
          <w:p w14:paraId="1DA11202" w14:textId="77777777" w:rsidR="008D55A7" w:rsidRDefault="008D55A7" w:rsidP="008C07CF">
            <w:r>
              <w:t xml:space="preserve">There were some workers assessed as part of RPL </w:t>
            </w:r>
            <w:proofErr w:type="spellStart"/>
            <w:r>
              <w:t>programmes</w:t>
            </w:r>
            <w:proofErr w:type="spellEnd"/>
            <w:r>
              <w:t xml:space="preserve">, who accessed </w:t>
            </w:r>
            <w:proofErr w:type="spellStart"/>
            <w:r>
              <w:t>Nated</w:t>
            </w:r>
            <w:proofErr w:type="spellEnd"/>
            <w:r>
              <w:t xml:space="preserve"> </w:t>
            </w:r>
            <w:proofErr w:type="spellStart"/>
            <w:r>
              <w:t>programmes</w:t>
            </w:r>
            <w:proofErr w:type="spellEnd"/>
            <w:r>
              <w:t xml:space="preserve"> as part of </w:t>
            </w:r>
            <w:proofErr w:type="spellStart"/>
            <w:r>
              <w:t>programmes</w:t>
            </w:r>
            <w:proofErr w:type="spellEnd"/>
            <w:r>
              <w:t xml:space="preserve"> to obtain qualifications, but there is limited data on this and it can be assumed that the numbers were quite small. Employers seeking to upgrade the skills of their workers were more likely to train them in-house or to contract a private training provider to do this.</w:t>
            </w:r>
          </w:p>
        </w:tc>
      </w:tr>
    </w:tbl>
    <w:p w14:paraId="77EDC5CD" w14:textId="77777777" w:rsidR="008D55A7" w:rsidRPr="00AA4BA0" w:rsidRDefault="008D55A7" w:rsidP="008C07CF">
      <w:pPr>
        <w:rPr>
          <w:highlight w:val="green"/>
        </w:rPr>
      </w:pPr>
    </w:p>
    <w:p w14:paraId="77CA49D2" w14:textId="77777777" w:rsidR="00674EAD" w:rsidRDefault="004C43E1" w:rsidP="008C07CF">
      <w:r>
        <w:lastRenderedPageBreak/>
        <w:t>SUMMARY</w:t>
      </w:r>
    </w:p>
    <w:p w14:paraId="267F0356" w14:textId="77777777" w:rsidR="004009F2" w:rsidRDefault="004C43E1" w:rsidP="008C07CF">
      <w:r w:rsidRPr="00702206">
        <w:t>Generally, the</w:t>
      </w:r>
      <w:r w:rsidR="009927D3">
        <w:t>re was confusion among skills us</w:t>
      </w:r>
      <w:r w:rsidRPr="00702206">
        <w:t xml:space="preserve">ers on the role of the two </w:t>
      </w:r>
      <w:proofErr w:type="spellStart"/>
      <w:r w:rsidRPr="00702206">
        <w:t>programmes</w:t>
      </w:r>
      <w:proofErr w:type="spellEnd"/>
      <w:r w:rsidRPr="00702206">
        <w:t xml:space="preserve">. The introduction of the NC(V) led to government </w:t>
      </w:r>
      <w:r w:rsidR="009927D3">
        <w:t xml:space="preserve">almost abandoning </w:t>
      </w:r>
      <w:r w:rsidR="00B17654">
        <w:t>the N-</w:t>
      </w:r>
      <w:proofErr w:type="spellStart"/>
      <w:r w:rsidR="00B17654">
        <w:t>programmes</w:t>
      </w:r>
      <w:proofErr w:type="spellEnd"/>
      <w:r w:rsidR="00034882">
        <w:t xml:space="preserve">. </w:t>
      </w:r>
      <w:r w:rsidRPr="00702206">
        <w:t xml:space="preserve">At the same time, the quality of the new </w:t>
      </w:r>
      <w:proofErr w:type="spellStart"/>
      <w:r w:rsidRPr="00702206">
        <w:t>programme</w:t>
      </w:r>
      <w:proofErr w:type="spellEnd"/>
      <w:r w:rsidRPr="00702206">
        <w:t xml:space="preserve"> came und</w:t>
      </w:r>
      <w:r w:rsidR="00B17654">
        <w:t>er s</w:t>
      </w:r>
      <w:r w:rsidRPr="00702206">
        <w:t>potligh</w:t>
      </w:r>
      <w:r w:rsidR="00B17654">
        <w:t>t</w:t>
      </w:r>
      <w:r w:rsidRPr="00702206">
        <w:t>, with employer</w:t>
      </w:r>
      <w:r w:rsidR="00483776">
        <w:t>s</w:t>
      </w:r>
      <w:r w:rsidRPr="00702206">
        <w:t xml:space="preserve"> complaining th</w:t>
      </w:r>
      <w:r w:rsidR="00B17654">
        <w:t>a</w:t>
      </w:r>
      <w:r w:rsidRPr="00702206">
        <w:t xml:space="preserve">t the products of </w:t>
      </w:r>
      <w:r w:rsidR="00702206" w:rsidRPr="00702206">
        <w:t>the system were not work-ready.</w:t>
      </w:r>
      <w:r w:rsidR="00B17654">
        <w:t xml:space="preserve"> </w:t>
      </w:r>
      <w:r w:rsidR="00013586" w:rsidRPr="00702206">
        <w:t>Employers</w:t>
      </w:r>
      <w:r w:rsidR="00702206" w:rsidRPr="00702206">
        <w:t xml:space="preserve"> were initially not comfortable with the </w:t>
      </w:r>
      <w:proofErr w:type="spellStart"/>
      <w:r w:rsidR="00702206" w:rsidRPr="00702206">
        <w:t>programme</w:t>
      </w:r>
      <w:proofErr w:type="spellEnd"/>
      <w:r w:rsidR="00702206" w:rsidRPr="00702206">
        <w:t xml:space="preserve">, and technically disowned it in </w:t>
      </w:r>
      <w:proofErr w:type="spellStart"/>
      <w:r w:rsidR="00702206" w:rsidRPr="00702206">
        <w:t>favour</w:t>
      </w:r>
      <w:proofErr w:type="spellEnd"/>
      <w:r w:rsidR="00702206" w:rsidRPr="00702206">
        <w:t xml:space="preserve"> of </w:t>
      </w:r>
      <w:r w:rsidR="003D53BE" w:rsidRPr="00702206">
        <w:t>N-Courses</w:t>
      </w:r>
      <w:r w:rsidR="00702206" w:rsidRPr="00702206">
        <w:t>.</w:t>
      </w:r>
      <w:r w:rsidR="00B17654">
        <w:t xml:space="preserve"> </w:t>
      </w:r>
      <w:r w:rsidR="00013586">
        <w:t>Unfortunately,</w:t>
      </w:r>
      <w:r w:rsidR="00B17654">
        <w:t xml:space="preserve"> the decline </w:t>
      </w:r>
      <w:r w:rsidR="00BD2257">
        <w:t xml:space="preserve">of </w:t>
      </w:r>
      <w:r w:rsidR="00B17654">
        <w:t>quality in N-</w:t>
      </w:r>
      <w:proofErr w:type="spellStart"/>
      <w:r w:rsidR="00B17654">
        <w:t>programmes</w:t>
      </w:r>
      <w:proofErr w:type="spellEnd"/>
      <w:r w:rsidR="00B17654">
        <w:t xml:space="preserve"> also </w:t>
      </w:r>
      <w:r w:rsidR="003D53BE" w:rsidRPr="00702206">
        <w:t xml:space="preserve">led to the </w:t>
      </w:r>
      <w:r w:rsidR="00113E5E" w:rsidRPr="00702206">
        <w:t xml:space="preserve">industry </w:t>
      </w:r>
      <w:r w:rsidR="00013586" w:rsidRPr="00702206">
        <w:t>losing</w:t>
      </w:r>
      <w:r w:rsidR="00113E5E" w:rsidRPr="00702206">
        <w:t xml:space="preserve"> confidence in </w:t>
      </w:r>
      <w:r w:rsidR="00B17654">
        <w:t>it</w:t>
      </w:r>
      <w:r w:rsidR="00113E5E" w:rsidRPr="00702206">
        <w:t>. The workplace experience collapsed, with over-</w:t>
      </w:r>
      <w:r w:rsidR="00013586" w:rsidRPr="00702206">
        <w:t>concentration</w:t>
      </w:r>
      <w:r w:rsidR="00113E5E" w:rsidRPr="00702206">
        <w:t xml:space="preserve"> o</w:t>
      </w:r>
      <w:r w:rsidR="00D53741">
        <w:t>n</w:t>
      </w:r>
      <w:r w:rsidR="00113E5E" w:rsidRPr="00702206">
        <w:t xml:space="preserve"> theor</w:t>
      </w:r>
      <w:r w:rsidR="00D53741">
        <w:t>etical</w:t>
      </w:r>
      <w:r w:rsidR="00113E5E" w:rsidRPr="00702206">
        <w:t xml:space="preserve"> learning. Symptomatic </w:t>
      </w:r>
      <w:r w:rsidR="00D53741">
        <w:t>of</w:t>
      </w:r>
      <w:r w:rsidR="00D53741" w:rsidRPr="00702206">
        <w:t xml:space="preserve"> </w:t>
      </w:r>
      <w:r w:rsidR="00113E5E" w:rsidRPr="00702206">
        <w:t>the problem was the sharp decline in the production of artisans</w:t>
      </w:r>
      <w:r w:rsidR="00B17654">
        <w:t xml:space="preserve"> as explained in earlier parts of this report</w:t>
      </w:r>
      <w:r w:rsidR="00113E5E" w:rsidRPr="00702206">
        <w:t>.</w:t>
      </w:r>
    </w:p>
    <w:p w14:paraId="71AFD26E" w14:textId="77777777" w:rsidR="00D472E8" w:rsidRPr="00AA4BA0" w:rsidRDefault="00A40D0D" w:rsidP="008C07CF">
      <w:r w:rsidRPr="00AA4BA0">
        <w:rPr>
          <w:i/>
        </w:rPr>
        <w:t>O</w:t>
      </w:r>
      <w:r w:rsidR="00F14D6A" w:rsidRPr="00AA4BA0">
        <w:rPr>
          <w:i/>
        </w:rPr>
        <w:t>utcome 4.3.2</w:t>
      </w:r>
      <w:r w:rsidR="00006B50" w:rsidRPr="00AA4BA0">
        <w:rPr>
          <w:i/>
        </w:rPr>
        <w:t xml:space="preserve">: </w:t>
      </w:r>
      <w:r w:rsidR="00D472E8" w:rsidRPr="00AA4BA0">
        <w:rPr>
          <w:i/>
        </w:rPr>
        <w:t>Partnerships between DHET, SETAs, employers, private providers and public</w:t>
      </w:r>
      <w:r w:rsidR="00D472E8" w:rsidRPr="00AA4BA0">
        <w:t xml:space="preserve"> FET colleges are resulting in increased capacity to meet industry needs throughout the country. </w:t>
      </w:r>
    </w:p>
    <w:p w14:paraId="0128BE26" w14:textId="77777777" w:rsidR="007D7CD5" w:rsidRDefault="00D53741" w:rsidP="008C07CF">
      <w:r>
        <w:t>Work Integrated Learning</w:t>
      </w:r>
      <w:r w:rsidR="00BD2257">
        <w:t xml:space="preserve"> (</w:t>
      </w:r>
      <w:r w:rsidR="007D7CD5">
        <w:t>WIL</w:t>
      </w:r>
      <w:r w:rsidR="00BD2257">
        <w:t>)</w:t>
      </w:r>
      <w:r>
        <w:t>,</w:t>
      </w:r>
      <w:r w:rsidR="007D7CD5">
        <w:t xml:space="preserve"> is considered an essential component of </w:t>
      </w:r>
      <w:r w:rsidR="00BD2257">
        <w:t>TVET</w:t>
      </w:r>
      <w:r w:rsidR="007D7CD5">
        <w:t xml:space="preserve"> learning </w:t>
      </w:r>
      <w:proofErr w:type="spellStart"/>
      <w:r w:rsidR="007D7CD5">
        <w:t>programmes</w:t>
      </w:r>
      <w:proofErr w:type="spellEnd"/>
      <w:r w:rsidR="007D7CD5">
        <w:t xml:space="preserve">, and has positive spill-over effects on </w:t>
      </w:r>
      <w:r w:rsidR="00013586">
        <w:t>several fronts</w:t>
      </w:r>
      <w:r w:rsidR="007D7CD5">
        <w:t xml:space="preserve">; it exposes teachers and learners to the real world of work, coordinates the alignment between theory and practice, enhances curriculum development. The employer benefits from the improved quality of </w:t>
      </w:r>
      <w:proofErr w:type="spellStart"/>
      <w:r w:rsidR="007D7CD5">
        <w:t>labour</w:t>
      </w:r>
      <w:proofErr w:type="spellEnd"/>
      <w:r w:rsidR="007D7CD5">
        <w:t xml:space="preserve"> supply while colleges benefit from additional training resources.</w:t>
      </w:r>
      <w:r w:rsidR="00483776">
        <w:t xml:space="preserve"> Learners who participate in workplace based experience and learning often add value to classes where most of the learners do not share such experiences. </w:t>
      </w:r>
    </w:p>
    <w:p w14:paraId="131378C5" w14:textId="77777777" w:rsidR="003C1020" w:rsidRDefault="003C1020" w:rsidP="008C07CF">
      <w:r>
        <w:t xml:space="preserve">The JIPSA </w:t>
      </w:r>
      <w:r w:rsidR="00BD0FC5">
        <w:t>Close-Out Report revealed</w:t>
      </w:r>
      <w:r>
        <w:t xml:space="preserve"> that colleges </w:t>
      </w:r>
      <w:r w:rsidR="00BD0FC5">
        <w:t>emerged</w:t>
      </w:r>
      <w:r>
        <w:t xml:space="preserve"> </w:t>
      </w:r>
      <w:r w:rsidR="001706A7">
        <w:t xml:space="preserve">as a </w:t>
      </w:r>
      <w:r w:rsidR="00702206">
        <w:t>‘</w:t>
      </w:r>
      <w:r>
        <w:t>weak link</w:t>
      </w:r>
      <w:r w:rsidR="00702206">
        <w:t>’</w:t>
      </w:r>
      <w:r>
        <w:t xml:space="preserve"> in the supply chain</w:t>
      </w:r>
      <w:r w:rsidR="00702206">
        <w:t xml:space="preserve"> of priority skills</w:t>
      </w:r>
      <w:r>
        <w:t xml:space="preserve">. </w:t>
      </w:r>
      <w:r w:rsidR="001706A7">
        <w:t>Accordingly, th</w:t>
      </w:r>
      <w:r w:rsidR="00BD0FC5">
        <w:t>e</w:t>
      </w:r>
      <w:r>
        <w:t xml:space="preserve"> problem persist</w:t>
      </w:r>
      <w:r w:rsidR="00BD0FC5">
        <w:t>ed</w:t>
      </w:r>
      <w:r>
        <w:t xml:space="preserve"> </w:t>
      </w:r>
      <w:r w:rsidR="001706A7">
        <w:t xml:space="preserve">beyond their </w:t>
      </w:r>
      <w:r>
        <w:t>recapitalization</w:t>
      </w:r>
      <w:r w:rsidR="00BD0FC5">
        <w:t xml:space="preserve">. </w:t>
      </w:r>
      <w:r w:rsidR="001706A7">
        <w:t>T</w:t>
      </w:r>
      <w:r w:rsidR="00D54264">
        <w:t xml:space="preserve">he situation was </w:t>
      </w:r>
      <w:r w:rsidR="00DF6050">
        <w:t xml:space="preserve">further </w:t>
      </w:r>
      <w:r w:rsidR="00013586">
        <w:t>exacerbated</w:t>
      </w:r>
      <w:r w:rsidR="00DF6050">
        <w:t xml:space="preserve"> by </w:t>
      </w:r>
      <w:r>
        <w:t xml:space="preserve">outdated curriculum, learning materials, </w:t>
      </w:r>
      <w:r w:rsidR="00013586">
        <w:t>equipment</w:t>
      </w:r>
      <w:r>
        <w:t xml:space="preserve"> and </w:t>
      </w:r>
      <w:r w:rsidR="00DF6050">
        <w:t xml:space="preserve">poorly qualified </w:t>
      </w:r>
      <w:r>
        <w:t>trainers, which hamper</w:t>
      </w:r>
      <w:r w:rsidR="009B6537">
        <w:t>ed</w:t>
      </w:r>
      <w:r>
        <w:t xml:space="preserve"> these institutions to provide such skills (The Presidency, 2010).</w:t>
      </w:r>
      <w:r w:rsidR="00B17654">
        <w:t xml:space="preserve"> The report </w:t>
      </w:r>
      <w:r w:rsidR="00BD0FC5">
        <w:t>recommended that</w:t>
      </w:r>
      <w:r w:rsidR="00D53741">
        <w:t xml:space="preserve"> </w:t>
      </w:r>
      <w:r w:rsidR="00BD0FC5">
        <w:t xml:space="preserve">closer </w:t>
      </w:r>
      <w:r w:rsidR="00BD2257">
        <w:t>TVET</w:t>
      </w:r>
      <w:r w:rsidR="00BD0FC5">
        <w:t xml:space="preserve"> colleges/industry linkages be forged for lecturers to acquire modern work practices and keep abreast of industry developments. </w:t>
      </w:r>
      <w:r>
        <w:t xml:space="preserve">Partnerships among key role players was considered a key driver for the implementation of the NSDS III, both at systemic and implementation levels. At </w:t>
      </w:r>
      <w:r w:rsidR="00013586">
        <w:t>implementation</w:t>
      </w:r>
      <w:r>
        <w:t xml:space="preserve"> level, colleges would locate opportunities for workplaces, creating opportunities for lecturer exposure to industry and create opportunities for learner absorption into the </w:t>
      </w:r>
      <w:proofErr w:type="spellStart"/>
      <w:r>
        <w:t>labour</w:t>
      </w:r>
      <w:proofErr w:type="spellEnd"/>
      <w:r>
        <w:t xml:space="preserve"> market. SETAs would play an intermediary </w:t>
      </w:r>
      <w:r w:rsidR="00D53741">
        <w:t xml:space="preserve">or brokering </w:t>
      </w:r>
      <w:r>
        <w:t xml:space="preserve">role </w:t>
      </w:r>
      <w:r w:rsidR="00B17654">
        <w:t xml:space="preserve">in </w:t>
      </w:r>
      <w:r w:rsidR="00D53741">
        <w:t>enabling and supporting the partnerships</w:t>
      </w:r>
      <w:r>
        <w:t>.</w:t>
      </w:r>
    </w:p>
    <w:p w14:paraId="6D0CE38C" w14:textId="77777777" w:rsidR="00156FE1" w:rsidRDefault="00B17654" w:rsidP="008C07CF">
      <w:r>
        <w:t xml:space="preserve">At the time, the </w:t>
      </w:r>
      <w:r w:rsidR="00AA684E">
        <w:t xml:space="preserve">DHET </w:t>
      </w:r>
      <w:r>
        <w:t xml:space="preserve">was reportedly </w:t>
      </w:r>
      <w:r w:rsidR="00DF6050">
        <w:t>in a</w:t>
      </w:r>
      <w:r w:rsidR="00AA684E">
        <w:t xml:space="preserve"> process of developing </w:t>
      </w:r>
      <w:r w:rsidR="00AE07EA">
        <w:t xml:space="preserve">a </w:t>
      </w:r>
      <w:r w:rsidR="00AA684E">
        <w:t xml:space="preserve">national strategy aimed </w:t>
      </w:r>
      <w:r w:rsidR="00AE07EA">
        <w:t>at</w:t>
      </w:r>
      <w:r w:rsidR="00AA684E">
        <w:t xml:space="preserve"> promot</w:t>
      </w:r>
      <w:r w:rsidR="00AE07EA">
        <w:t xml:space="preserve">ing </w:t>
      </w:r>
      <w:r w:rsidR="00AA684E">
        <w:t xml:space="preserve">awareness </w:t>
      </w:r>
      <w:r w:rsidR="00AE07EA">
        <w:t xml:space="preserve">and facilitating </w:t>
      </w:r>
      <w:r w:rsidR="00AA684E">
        <w:t>NC(V</w:t>
      </w:r>
      <w:r w:rsidR="00013586">
        <w:t>) graduates</w:t>
      </w:r>
      <w:r w:rsidR="00AA684E">
        <w:t xml:space="preserve"> to</w:t>
      </w:r>
      <w:r w:rsidR="00AE07EA">
        <w:t xml:space="preserve"> access work integrated learning and employment opportunities (NSA Skills Conference Report</w:t>
      </w:r>
      <w:r>
        <w:t>, 2013</w:t>
      </w:r>
      <w:r w:rsidR="00AE07EA">
        <w:t xml:space="preserve">). </w:t>
      </w:r>
    </w:p>
    <w:tbl>
      <w:tblPr>
        <w:tblStyle w:val="TableGrid"/>
        <w:tblW w:w="0" w:type="auto"/>
        <w:tblLook w:val="04A0" w:firstRow="1" w:lastRow="0" w:firstColumn="1" w:lastColumn="0" w:noHBand="0" w:noVBand="1"/>
      </w:tblPr>
      <w:tblGrid>
        <w:gridCol w:w="2022"/>
        <w:gridCol w:w="7328"/>
      </w:tblGrid>
      <w:tr w:rsidR="00156FE1" w:rsidRPr="00F47C02" w14:paraId="011834C5" w14:textId="77777777" w:rsidTr="00076022">
        <w:trPr>
          <w:tblHeader/>
        </w:trPr>
        <w:tc>
          <w:tcPr>
            <w:tcW w:w="9350" w:type="dxa"/>
            <w:gridSpan w:val="2"/>
            <w:shd w:val="clear" w:color="auto" w:fill="943634" w:themeFill="accent2" w:themeFillShade="BF"/>
          </w:tcPr>
          <w:p w14:paraId="2282703A" w14:textId="77777777" w:rsidR="00156FE1" w:rsidRPr="003F3AE8" w:rsidRDefault="00156FE1" w:rsidP="008C07CF">
            <w:r w:rsidRPr="001F269C">
              <w:lastRenderedPageBreak/>
              <w:t xml:space="preserve">Output 4.3.2.1: </w:t>
            </w:r>
            <w:r w:rsidRPr="001F269C">
              <w:rPr>
                <w:lang w:val="en-ZA"/>
              </w:rPr>
              <w:t>The capacity of FET colleges to provide quality vocational training is reviewed. Each college has a strategic plan in place to build capacity and engage in skills development programmes, including programmes offered in partnership with employers.</w:t>
            </w:r>
          </w:p>
        </w:tc>
      </w:tr>
      <w:tr w:rsidR="00156FE1" w:rsidRPr="00F47C02" w14:paraId="50A465C6" w14:textId="77777777" w:rsidTr="00076022">
        <w:tc>
          <w:tcPr>
            <w:tcW w:w="2022" w:type="dxa"/>
            <w:shd w:val="clear" w:color="auto" w:fill="D9D9D9" w:themeFill="background1" w:themeFillShade="D9"/>
          </w:tcPr>
          <w:p w14:paraId="18AD18EC" w14:textId="77777777" w:rsidR="00156FE1" w:rsidRPr="00AA4BA0" w:rsidRDefault="00156FE1" w:rsidP="008C07CF">
            <w:r w:rsidRPr="001F269C">
              <w:t xml:space="preserve">How many colleges were engaged in capacity building linked to occupational </w:t>
            </w:r>
            <w:proofErr w:type="spellStart"/>
            <w:r w:rsidRPr="001F269C">
              <w:t>programmes</w:t>
            </w:r>
            <w:proofErr w:type="spellEnd"/>
            <w:r w:rsidRPr="001F269C">
              <w:t xml:space="preserve"> required by SETAs and employers?</w:t>
            </w:r>
          </w:p>
        </w:tc>
        <w:tc>
          <w:tcPr>
            <w:tcW w:w="7328" w:type="dxa"/>
            <w:shd w:val="clear" w:color="auto" w:fill="auto"/>
          </w:tcPr>
          <w:p w14:paraId="43A1E7C8" w14:textId="77777777" w:rsidR="00156FE1" w:rsidRDefault="00156FE1" w:rsidP="008C07CF">
            <w:r>
              <w:t xml:space="preserve">A comprehensive capacity building </w:t>
            </w:r>
            <w:proofErr w:type="spellStart"/>
            <w:r>
              <w:t>programme</w:t>
            </w:r>
            <w:proofErr w:type="spellEnd"/>
            <w:r>
              <w:t xml:space="preserve"> including workplace and industry experience had been developed and agreed to with stakeholders. </w:t>
            </w:r>
            <w:r w:rsidRPr="00285964">
              <w:t>One of the mainstream project</w:t>
            </w:r>
            <w:r>
              <w:t>s</w:t>
            </w:r>
            <w:r w:rsidRPr="00285964">
              <w:t xml:space="preserve"> involved </w:t>
            </w:r>
            <w:r>
              <w:t>the Swiss-South Africa Cooperative Initiative (</w:t>
            </w:r>
            <w:r w:rsidRPr="00285964">
              <w:t>SACCI</w:t>
            </w:r>
            <w:r>
              <w:t xml:space="preserve">) and was instrumental in </w:t>
            </w:r>
            <w:r w:rsidRPr="00285964">
              <w:t>support</w:t>
            </w:r>
            <w:r>
              <w:t>ing</w:t>
            </w:r>
            <w:r w:rsidRPr="00285964">
              <w:t xml:space="preserve"> </w:t>
            </w:r>
            <w:r>
              <w:t xml:space="preserve">TVET </w:t>
            </w:r>
            <w:r w:rsidRPr="00285964">
              <w:t xml:space="preserve">colleges to </w:t>
            </w:r>
            <w:r>
              <w:t>e</w:t>
            </w:r>
            <w:r w:rsidRPr="00285964">
              <w:t>stablish and maintain partnerships with local companies, running work</w:t>
            </w:r>
            <w:r>
              <w:t>shops for colleges and facilitating</w:t>
            </w:r>
            <w:r w:rsidRPr="00285964">
              <w:t xml:space="preserve"> links between colleges and industry.</w:t>
            </w:r>
            <w:r>
              <w:t xml:space="preserve"> About 15 colleges involved their lecturers in a workplace project. To support the development of the strategy, two initiatives were being undertaken/piloted; a Workplace Based Experience Framework (WBE) involving </w:t>
            </w:r>
            <w:proofErr w:type="spellStart"/>
            <w:r>
              <w:t>Taletso</w:t>
            </w:r>
            <w:proofErr w:type="spellEnd"/>
            <w:r>
              <w:t xml:space="preserve"> FET College, and the National Student Work Readiness </w:t>
            </w:r>
            <w:proofErr w:type="spellStart"/>
            <w:r>
              <w:t>Programme</w:t>
            </w:r>
            <w:proofErr w:type="spellEnd"/>
            <w:r>
              <w:t xml:space="preserve"> through the Orbit FET College (NSA Skills Conference Report).  Many SETAs were involved in the process of accrediting colleges to deliver occupational </w:t>
            </w:r>
            <w:proofErr w:type="spellStart"/>
            <w:r>
              <w:t>programmes</w:t>
            </w:r>
            <w:proofErr w:type="spellEnd"/>
            <w:r>
              <w:t xml:space="preserve">. Technically SETA ETQAs did not “accredit” colleges as their accreditation council was </w:t>
            </w:r>
            <w:proofErr w:type="spellStart"/>
            <w:r>
              <w:t>Umalusi</w:t>
            </w:r>
            <w:proofErr w:type="spellEnd"/>
            <w:r>
              <w:t xml:space="preserve"> and they were “deemed” to be accredited. However, SETAs would evaluate </w:t>
            </w:r>
            <w:proofErr w:type="spellStart"/>
            <w:r>
              <w:t>programmes</w:t>
            </w:r>
            <w:proofErr w:type="spellEnd"/>
            <w:r>
              <w:t xml:space="preserve"> and the process involved some capacity building with the colleges to enable the delivery of occupationally-directed </w:t>
            </w:r>
            <w:proofErr w:type="spellStart"/>
            <w:r>
              <w:t>programmes</w:t>
            </w:r>
            <w:proofErr w:type="spellEnd"/>
            <w:r>
              <w:t xml:space="preserve">. For example, the ETDP SETA accredited several colleges to deliver ECD practitioner training, Services SETA approved a number of college hair dressing courses, </w:t>
            </w:r>
            <w:proofErr w:type="spellStart"/>
            <w:r>
              <w:t>MerSETA</w:t>
            </w:r>
            <w:proofErr w:type="spellEnd"/>
            <w:r>
              <w:t xml:space="preserve"> accredited a number of colleges to deliver artisan qualifications and </w:t>
            </w:r>
            <w:proofErr w:type="spellStart"/>
            <w:r>
              <w:t>CathSETA</w:t>
            </w:r>
            <w:proofErr w:type="spellEnd"/>
            <w:r>
              <w:t xml:space="preserve"> accredited several catering </w:t>
            </w:r>
            <w:proofErr w:type="spellStart"/>
            <w:r>
              <w:t>programmes</w:t>
            </w:r>
            <w:proofErr w:type="spellEnd"/>
            <w:r>
              <w:t xml:space="preserve">. So, there was capacity building taking place linked to the ETQA work of various SETAs. MAPPP had 4 accredited </w:t>
            </w:r>
            <w:proofErr w:type="spellStart"/>
            <w:r>
              <w:t>programmes</w:t>
            </w:r>
            <w:proofErr w:type="spellEnd"/>
            <w:r>
              <w:t xml:space="preserve"> with 3 TVET colleges; College of Cape Town, False Bay and Port Elizabeth College and approved 10 </w:t>
            </w:r>
            <w:proofErr w:type="spellStart"/>
            <w:r>
              <w:t>organisations</w:t>
            </w:r>
            <w:proofErr w:type="spellEnd"/>
            <w:r>
              <w:t xml:space="preserve"> to offer workplace training in various learning </w:t>
            </w:r>
            <w:proofErr w:type="spellStart"/>
            <w:r>
              <w:t>programmes</w:t>
            </w:r>
            <w:proofErr w:type="spellEnd"/>
            <w:r>
              <w:t xml:space="preserve"> (MAPPP Annual Report, 2010/11). PSETA had 21 registered </w:t>
            </w:r>
            <w:proofErr w:type="spellStart"/>
            <w:r>
              <w:t>programmes</w:t>
            </w:r>
            <w:proofErr w:type="spellEnd"/>
            <w:r>
              <w:t xml:space="preserve"> (Annual Report)</w:t>
            </w:r>
            <w:r w:rsidR="000B6E53">
              <w:t>.</w:t>
            </w:r>
          </w:p>
          <w:p w14:paraId="3545C507" w14:textId="77777777" w:rsidR="000B6E53" w:rsidRPr="00AA4BA0" w:rsidRDefault="000B6E53" w:rsidP="008C07CF"/>
        </w:tc>
      </w:tr>
      <w:tr w:rsidR="00156FE1" w:rsidRPr="00F47C02" w14:paraId="5A3C7FFE" w14:textId="77777777" w:rsidTr="00076022">
        <w:tc>
          <w:tcPr>
            <w:tcW w:w="2022" w:type="dxa"/>
            <w:shd w:val="clear" w:color="auto" w:fill="D9D9D9" w:themeFill="background1" w:themeFillShade="D9"/>
          </w:tcPr>
          <w:p w14:paraId="4DE13AAA" w14:textId="77777777" w:rsidR="00156FE1" w:rsidRPr="001F269C" w:rsidRDefault="00156FE1" w:rsidP="008C07CF">
            <w:r w:rsidRPr="001F269C">
              <w:t>What was the profile of lecturers in colleges (vis-a-vis industry and education skills)?</w:t>
            </w:r>
          </w:p>
        </w:tc>
        <w:tc>
          <w:tcPr>
            <w:tcW w:w="7328" w:type="dxa"/>
            <w:shd w:val="clear" w:color="auto" w:fill="auto"/>
          </w:tcPr>
          <w:p w14:paraId="54946E83" w14:textId="77777777" w:rsidR="00156FE1" w:rsidRDefault="00156FE1" w:rsidP="008C07CF">
            <w:r>
              <w:t xml:space="preserve">During the period 2000-2005 most college lecturers were technically qualified but had limited ETD capability. This changed with the exodus of many technically qualified lecturers, and the training of many as educators either via </w:t>
            </w:r>
            <w:r w:rsidR="003D29EE">
              <w:t>t</w:t>
            </w:r>
            <w:r>
              <w:t>he Bachelor of Education (</w:t>
            </w:r>
            <w:proofErr w:type="spellStart"/>
            <w:r>
              <w:t>BEd</w:t>
            </w:r>
            <w:proofErr w:type="spellEnd"/>
            <w:r>
              <w:t xml:space="preserve">) or National Professional Diploma in Education (NPDE). By 2010 most lecturers were qualified as educators but did not have the technical skills needed for the training of people in occupational </w:t>
            </w:r>
            <w:proofErr w:type="spellStart"/>
            <w:r>
              <w:t>programmes</w:t>
            </w:r>
            <w:proofErr w:type="spellEnd"/>
            <w:r>
              <w:t xml:space="preserve">.  </w:t>
            </w:r>
            <w:r w:rsidRPr="001F269C">
              <w:t>The 2011 Stats on PSET reported that colleges employed 8 686 lecturers, including</w:t>
            </w:r>
            <w:r>
              <w:t xml:space="preserve"> </w:t>
            </w:r>
            <w:r w:rsidRPr="001F269C">
              <w:t xml:space="preserve">full-time and part-time (DHET: 2013). The </w:t>
            </w:r>
            <w:r>
              <w:t xml:space="preserve">demographic </w:t>
            </w:r>
            <w:r w:rsidRPr="001F269C">
              <w:t xml:space="preserve">spread was uneven, with some colleges having far more lecturing staff than others regardless of the total number of student enrolled. </w:t>
            </w:r>
            <w:r>
              <w:t>A significant number of l</w:t>
            </w:r>
            <w:r w:rsidRPr="00F47C02">
              <w:t>ecturers</w:t>
            </w:r>
            <w:r w:rsidRPr="001F269C">
              <w:t xml:space="preserve"> were not appropriately qualified. </w:t>
            </w:r>
            <w:r>
              <w:t xml:space="preserve">There was no policy on professional </w:t>
            </w:r>
            <w:r>
              <w:lastRenderedPageBreak/>
              <w:t xml:space="preserve">qualifications for lecturers and the initial process to do so was interrupted by the restructuring of the previous Department of Education into two national departments.  </w:t>
            </w:r>
            <w:r w:rsidRPr="001F269C">
              <w:t xml:space="preserve">It </w:t>
            </w:r>
            <w:r>
              <w:t>was</w:t>
            </w:r>
            <w:r w:rsidRPr="001F269C">
              <w:t xml:space="preserve"> reported that </w:t>
            </w:r>
            <w:r>
              <w:t>i</w:t>
            </w:r>
            <w:r w:rsidRPr="001F269C">
              <w:t xml:space="preserve">n the absence of national vocational teacher training </w:t>
            </w:r>
            <w:proofErr w:type="spellStart"/>
            <w:r w:rsidRPr="001F269C">
              <w:t>programmes</w:t>
            </w:r>
            <w:proofErr w:type="spellEnd"/>
            <w:r w:rsidRPr="001F269C">
              <w:t xml:space="preserve">, </w:t>
            </w:r>
            <w:r>
              <w:t xml:space="preserve">universities had </w:t>
            </w:r>
            <w:r w:rsidRPr="001F269C">
              <w:t xml:space="preserve">been offering adapted versions of school-teacher preparation </w:t>
            </w:r>
            <w:proofErr w:type="spellStart"/>
            <w:r w:rsidRPr="001F269C">
              <w:t>programmes</w:t>
            </w:r>
            <w:proofErr w:type="spellEnd"/>
            <w:r w:rsidRPr="001F269C">
              <w:t xml:space="preserve"> based on Norms and Standards for Educators in schools (Papier, 2008). </w:t>
            </w:r>
            <w:r>
              <w:t xml:space="preserve">In her presentation at the New Linkages Conference, Papier further argued that “teacher education in the FET sector should have a vocational pedagogical component which can be represented as ‘a three-legged-pot’: strong subject knowledge, strong teaching methodology and workplace exposure and experience” (CEPD and Bronx College, 2012) </w:t>
            </w:r>
            <w:r w:rsidRPr="001F269C">
              <w:t xml:space="preserve">There </w:t>
            </w:r>
            <w:r>
              <w:t>we</w:t>
            </w:r>
            <w:r w:rsidRPr="001F269C">
              <w:t>re reported cases of colleges that resorted to employing inappropriately qualified and inexperienced graduates to teach where shortages occurred.</w:t>
            </w:r>
          </w:p>
          <w:p w14:paraId="5D6080DD" w14:textId="77777777" w:rsidR="000B6E53" w:rsidRDefault="000B6E53" w:rsidP="008C07CF"/>
        </w:tc>
      </w:tr>
    </w:tbl>
    <w:p w14:paraId="5E0707B7" w14:textId="77777777" w:rsidR="00156FE1" w:rsidRDefault="00156FE1" w:rsidP="008C07CF"/>
    <w:tbl>
      <w:tblPr>
        <w:tblStyle w:val="TableGrid"/>
        <w:tblW w:w="0" w:type="auto"/>
        <w:tblLook w:val="04A0" w:firstRow="1" w:lastRow="0" w:firstColumn="1" w:lastColumn="0" w:noHBand="0" w:noVBand="1"/>
      </w:tblPr>
      <w:tblGrid>
        <w:gridCol w:w="2022"/>
        <w:gridCol w:w="7328"/>
      </w:tblGrid>
      <w:tr w:rsidR="008D55A7" w:rsidRPr="00F47C02" w14:paraId="33E17984" w14:textId="77777777" w:rsidTr="00813248">
        <w:trPr>
          <w:tblHeader/>
        </w:trPr>
        <w:tc>
          <w:tcPr>
            <w:tcW w:w="9350" w:type="dxa"/>
            <w:gridSpan w:val="2"/>
            <w:shd w:val="clear" w:color="auto" w:fill="943634" w:themeFill="accent2" w:themeFillShade="BF"/>
          </w:tcPr>
          <w:p w14:paraId="4EBFEC85" w14:textId="77777777" w:rsidR="008D55A7" w:rsidRPr="003F3AE8" w:rsidRDefault="008D55A7" w:rsidP="008C07CF">
            <w:r w:rsidRPr="005564EC">
              <w:t>Output 4.3.2.2</w:t>
            </w:r>
            <w:r w:rsidRPr="005564EC">
              <w:tab/>
              <w:t xml:space="preserve"> SETAs identify FET colleges with relevant </w:t>
            </w:r>
            <w:proofErr w:type="spellStart"/>
            <w:r w:rsidRPr="005564EC">
              <w:t>programmes</w:t>
            </w:r>
            <w:proofErr w:type="spellEnd"/>
            <w:r w:rsidRPr="005564EC">
              <w:t xml:space="preserve"> and put in place partnerships to offer vocational courses and work experience for college learners.</w:t>
            </w:r>
          </w:p>
        </w:tc>
      </w:tr>
      <w:tr w:rsidR="008D55A7" w:rsidRPr="00F47C02" w14:paraId="6368B4D3" w14:textId="77777777" w:rsidTr="00813248">
        <w:tc>
          <w:tcPr>
            <w:tcW w:w="2022" w:type="dxa"/>
            <w:shd w:val="clear" w:color="auto" w:fill="D9D9D9" w:themeFill="background1" w:themeFillShade="D9"/>
          </w:tcPr>
          <w:p w14:paraId="6BFF9691" w14:textId="77777777" w:rsidR="008D55A7" w:rsidRPr="001F269C" w:rsidRDefault="008D55A7" w:rsidP="008C07CF">
            <w:r w:rsidRPr="008419B6">
              <w:t>How many SETAs had such partnerships in place?</w:t>
            </w:r>
          </w:p>
        </w:tc>
        <w:tc>
          <w:tcPr>
            <w:tcW w:w="7328" w:type="dxa"/>
            <w:shd w:val="clear" w:color="auto" w:fill="auto"/>
          </w:tcPr>
          <w:p w14:paraId="47401BCE" w14:textId="77777777" w:rsidR="008D55A7" w:rsidRDefault="008D55A7" w:rsidP="008C07CF">
            <w:r w:rsidRPr="004170F6">
              <w:t xml:space="preserve">The </w:t>
            </w:r>
            <w:proofErr w:type="spellStart"/>
            <w:r w:rsidRPr="004170F6">
              <w:t>Singizi</w:t>
            </w:r>
            <w:proofErr w:type="spellEnd"/>
            <w:r w:rsidRPr="004170F6">
              <w:t xml:space="preserve"> Report on the Review of Partnerships and Linkages shows that 11 SETAs were involved in some form of partnerships involving colleges and companies. SETAs’ contribution differed by sector. In some cases, they provided curriculum support, lecturer development and facilitated student placement in industry. In other cases, SETAs invested in infrastructure, resources and monetary contribution.  </w:t>
            </w:r>
            <w:r>
              <w:t>Although the support was spread across the colleges, i</w:t>
            </w:r>
            <w:r w:rsidRPr="004170F6">
              <w:t xml:space="preserve">t was common for multiple </w:t>
            </w:r>
            <w:r>
              <w:t xml:space="preserve">projects being concentrated </w:t>
            </w:r>
            <w:r w:rsidRPr="004170F6">
              <w:t xml:space="preserve">in a </w:t>
            </w:r>
            <w:r>
              <w:t xml:space="preserve">one particular </w:t>
            </w:r>
            <w:r w:rsidRPr="004170F6">
              <w:t xml:space="preserve">college. </w:t>
            </w:r>
            <w:proofErr w:type="spellStart"/>
            <w:r w:rsidRPr="004170F6">
              <w:t>Programme</w:t>
            </w:r>
            <w:proofErr w:type="spellEnd"/>
            <w:r w:rsidRPr="004170F6">
              <w:t xml:space="preserve"> support tended to focus largely on manufacturing, engineering and technology (SACCI, 2011). </w:t>
            </w:r>
            <w:proofErr w:type="spellStart"/>
            <w:r>
              <w:t>Isett</w:t>
            </w:r>
            <w:proofErr w:type="spellEnd"/>
            <w:r>
              <w:t xml:space="preserve"> Seta for example, had about 7 partnerships with public TVET colleges in four provinces on end-user computing </w:t>
            </w:r>
            <w:proofErr w:type="spellStart"/>
            <w:r>
              <w:t>programme</w:t>
            </w:r>
            <w:proofErr w:type="spellEnd"/>
            <w:r>
              <w:t xml:space="preserve"> at NQF level 3, with 6 active learning </w:t>
            </w:r>
            <w:proofErr w:type="spellStart"/>
            <w:r>
              <w:t>programmes</w:t>
            </w:r>
            <w:proofErr w:type="spellEnd"/>
            <w:r>
              <w:t xml:space="preserve"> (Annual Report, 2010/11), while some had expired prior to the implementation if the NSDS III.</w:t>
            </w:r>
          </w:p>
          <w:p w14:paraId="017793AB" w14:textId="77777777" w:rsidR="008D55A7" w:rsidRDefault="008D55A7" w:rsidP="008C07CF"/>
        </w:tc>
      </w:tr>
      <w:tr w:rsidR="008D55A7" w:rsidRPr="00F47C02" w14:paraId="4D3CB677" w14:textId="77777777" w:rsidTr="00813248">
        <w:tc>
          <w:tcPr>
            <w:tcW w:w="2022" w:type="dxa"/>
            <w:shd w:val="clear" w:color="auto" w:fill="D9D9D9" w:themeFill="background1" w:themeFillShade="D9"/>
          </w:tcPr>
          <w:p w14:paraId="42EDFB37" w14:textId="77777777" w:rsidR="008D55A7" w:rsidRPr="008419B6" w:rsidRDefault="008D55A7" w:rsidP="008C07CF">
            <w:r w:rsidRPr="008419B6">
              <w:t>How many colleges were engaged in such partnerships?</w:t>
            </w:r>
          </w:p>
        </w:tc>
        <w:tc>
          <w:tcPr>
            <w:tcW w:w="7328" w:type="dxa"/>
            <w:shd w:val="clear" w:color="auto" w:fill="auto"/>
          </w:tcPr>
          <w:p w14:paraId="3ECB35E3" w14:textId="77777777" w:rsidR="008D55A7" w:rsidRDefault="008D55A7" w:rsidP="008C07CF">
            <w:r w:rsidRPr="007133C5">
              <w:t xml:space="preserve">Data from the </w:t>
            </w:r>
            <w:r>
              <w:t>SETA</w:t>
            </w:r>
            <w:r w:rsidRPr="007133C5">
              <w:t xml:space="preserve"> report</w:t>
            </w:r>
            <w:r>
              <w:t>s</w:t>
            </w:r>
            <w:r w:rsidRPr="007133C5">
              <w:t xml:space="preserve"> suggest</w:t>
            </w:r>
            <w:r>
              <w:t>s</w:t>
            </w:r>
            <w:r w:rsidRPr="007133C5">
              <w:t xml:space="preserve"> that all colleges were engaged</w:t>
            </w:r>
            <w:r>
              <w:t xml:space="preserve"> in some form of partnerships with some SETAs, though not all SETAs were partnering with colleges.</w:t>
            </w:r>
            <w:r w:rsidRPr="007133C5">
              <w:t xml:space="preserve"> For</w:t>
            </w:r>
            <w:r>
              <w:t xml:space="preserve"> example, the </w:t>
            </w:r>
            <w:proofErr w:type="spellStart"/>
            <w:r>
              <w:t>BankSETA</w:t>
            </w:r>
            <w:proofErr w:type="spellEnd"/>
            <w:r>
              <w:t xml:space="preserve"> reported</w:t>
            </w:r>
            <w:r w:rsidRPr="007133C5">
              <w:t xml:space="preserve"> ha</w:t>
            </w:r>
            <w:r>
              <w:t>ving</w:t>
            </w:r>
            <w:r w:rsidRPr="007133C5">
              <w:t xml:space="preserve"> partner</w:t>
            </w:r>
            <w:r>
              <w:t xml:space="preserve">ed </w:t>
            </w:r>
            <w:r w:rsidRPr="007133C5">
              <w:t>with “</w:t>
            </w:r>
            <w:r w:rsidR="0013409A">
              <w:t>50</w:t>
            </w:r>
            <w:r w:rsidRPr="007133C5">
              <w:t xml:space="preserve"> colleges countrywide…providing Financial Literacy Training to learners”. The status of such partnerships was reported </w:t>
            </w:r>
            <w:r>
              <w:t xml:space="preserve">either as </w:t>
            </w:r>
            <w:r w:rsidRPr="007133C5">
              <w:t xml:space="preserve">“an agreement” or </w:t>
            </w:r>
            <w:r>
              <w:t>Memorandum of Understanding (</w:t>
            </w:r>
            <w:r w:rsidRPr="007133C5">
              <w:t>MOU</w:t>
            </w:r>
            <w:r>
              <w:t>)</w:t>
            </w:r>
            <w:r w:rsidRPr="007133C5">
              <w:t xml:space="preserve"> or collaboration</w:t>
            </w:r>
            <w:r>
              <w:t xml:space="preserve"> agreement</w:t>
            </w:r>
            <w:r w:rsidRPr="007133C5">
              <w:t xml:space="preserve">. </w:t>
            </w:r>
            <w:r>
              <w:t xml:space="preserve">Available data does not provide details of </w:t>
            </w:r>
            <w:r>
              <w:lastRenderedPageBreak/>
              <w:t xml:space="preserve">employer involvement although it does mention the participation of </w:t>
            </w:r>
            <w:r w:rsidRPr="007133C5">
              <w:t>private providers.</w:t>
            </w:r>
            <w:r>
              <w:t xml:space="preserve"> It is difficult to establish the extent and depth of partnerships as there was limited reporting on these in 2010. Although there was work done with colleges, it is unclear whether there was substantial work done. The impression given in annual reports is that minimal attention was being given to working with the public TVET colleges.</w:t>
            </w:r>
          </w:p>
          <w:p w14:paraId="14DF1531" w14:textId="77777777" w:rsidR="008D55A7" w:rsidRPr="004170F6" w:rsidRDefault="008D55A7" w:rsidP="008C07CF"/>
        </w:tc>
      </w:tr>
    </w:tbl>
    <w:p w14:paraId="2D30DFE1" w14:textId="77777777" w:rsidR="00156FE1" w:rsidRDefault="00156FE1" w:rsidP="008C07CF"/>
    <w:p w14:paraId="47097CC0" w14:textId="77777777" w:rsidR="00681412" w:rsidRDefault="007133C5" w:rsidP="008C07CF">
      <w:r w:rsidRPr="004009F2">
        <w:t>S</w:t>
      </w:r>
      <w:r w:rsidR="004830F2">
        <w:t>UMMARY</w:t>
      </w:r>
    </w:p>
    <w:p w14:paraId="5203AC90" w14:textId="77777777" w:rsidR="00E330CD" w:rsidRDefault="00E330CD" w:rsidP="008C07CF">
      <w:r>
        <w:t>The evidence suggest</w:t>
      </w:r>
      <w:r w:rsidR="00053F24">
        <w:t>s</w:t>
      </w:r>
      <w:r>
        <w:t xml:space="preserve"> that at th</w:t>
      </w:r>
      <w:r w:rsidR="00053F24">
        <w:t>at</w:t>
      </w:r>
      <w:r>
        <w:t xml:space="preserve"> time, the system didn’t have a comprehensive structure upon which partnerships could be established</w:t>
      </w:r>
      <w:r w:rsidR="007D7CD5">
        <w:t xml:space="preserve"> though a </w:t>
      </w:r>
      <w:proofErr w:type="spellStart"/>
      <w:r w:rsidR="007D7CD5">
        <w:t>programme</w:t>
      </w:r>
      <w:proofErr w:type="spellEnd"/>
      <w:r w:rsidR="007D7CD5">
        <w:t xml:space="preserve"> was being piloted</w:t>
      </w:r>
      <w:r>
        <w:t>. The following observations are listed:</w:t>
      </w:r>
    </w:p>
    <w:p w14:paraId="71FFEFD8" w14:textId="77777777" w:rsidR="00E330CD" w:rsidRDefault="00E330CD" w:rsidP="008C07CF">
      <w:pPr>
        <w:pStyle w:val="ListParagraph"/>
        <w:numPr>
          <w:ilvl w:val="0"/>
          <w:numId w:val="33"/>
        </w:numPr>
      </w:pPr>
      <w:r>
        <w:t xml:space="preserve">15 out of 50 colleges </w:t>
      </w:r>
      <w:r w:rsidR="00D0405F">
        <w:t xml:space="preserve">(less than a third) </w:t>
      </w:r>
      <w:r>
        <w:t>were reportedly involved</w:t>
      </w:r>
      <w:r w:rsidR="00053F24">
        <w:t xml:space="preserve"> in</w:t>
      </w:r>
      <w:r>
        <w:t xml:space="preserve"> industry partnership through the SSACI project; </w:t>
      </w:r>
      <w:r w:rsidR="00D0405F">
        <w:t>and</w:t>
      </w:r>
    </w:p>
    <w:p w14:paraId="02A12204" w14:textId="77777777" w:rsidR="00E330CD" w:rsidRPr="00D0405F" w:rsidRDefault="00053F24" w:rsidP="008C07CF">
      <w:pPr>
        <w:pStyle w:val="ListParagraph"/>
        <w:numPr>
          <w:ilvl w:val="0"/>
          <w:numId w:val="33"/>
        </w:numPr>
      </w:pPr>
      <w:r w:rsidRPr="00D0405F">
        <w:t>Lect</w:t>
      </w:r>
      <w:r w:rsidR="00E330CD" w:rsidRPr="00D0405F">
        <w:t>urers were not equit</w:t>
      </w:r>
      <w:r w:rsidR="00D0405F">
        <w:t xml:space="preserve">ably spread across the colleges, </w:t>
      </w:r>
      <w:r w:rsidR="00E13192" w:rsidRPr="00D0405F">
        <w:t>and</w:t>
      </w:r>
      <w:r w:rsidR="00D0405F" w:rsidRPr="00D0405F">
        <w:t xml:space="preserve"> were generally </w:t>
      </w:r>
      <w:r w:rsidR="00D0405F">
        <w:t xml:space="preserve">not appropriately qualified. </w:t>
      </w:r>
    </w:p>
    <w:p w14:paraId="7AA2A055" w14:textId="77777777" w:rsidR="007133C5" w:rsidRDefault="00E13192" w:rsidP="008C07CF">
      <w:r>
        <w:t xml:space="preserve">While </w:t>
      </w:r>
      <w:r w:rsidRPr="00E13192">
        <w:t xml:space="preserve">SETAs were </w:t>
      </w:r>
      <w:r w:rsidR="00013586" w:rsidRPr="00E13192">
        <w:t>involved</w:t>
      </w:r>
      <w:r w:rsidRPr="00E13192">
        <w:t xml:space="preserve"> in some form of partnerships with colleges</w:t>
      </w:r>
      <w:r>
        <w:t xml:space="preserve">, it is </w:t>
      </w:r>
      <w:r w:rsidR="00013586">
        <w:t>worth noting</w:t>
      </w:r>
      <w:r>
        <w:t xml:space="preserve"> that </w:t>
      </w:r>
      <w:r w:rsidR="00AF4C8D">
        <w:t xml:space="preserve">inadequate reporting on partnerships between SETAs and colleges made </w:t>
      </w:r>
      <w:r w:rsidR="008570B6">
        <w:t xml:space="preserve">it </w:t>
      </w:r>
      <w:r w:rsidR="00AF4C8D">
        <w:t xml:space="preserve">difficult to ascertain the </w:t>
      </w:r>
      <w:r w:rsidR="00731266">
        <w:t>status and conditions</w:t>
      </w:r>
      <w:r w:rsidR="008570B6">
        <w:t xml:space="preserve"> of such partnerships</w:t>
      </w:r>
      <w:r w:rsidR="00AF4C8D">
        <w:t xml:space="preserve">. </w:t>
      </w:r>
      <w:r w:rsidR="00731266">
        <w:t xml:space="preserve">It </w:t>
      </w:r>
      <w:r w:rsidR="00326E75">
        <w:t>is</w:t>
      </w:r>
      <w:r w:rsidR="00731266">
        <w:t xml:space="preserve"> impossible to </w:t>
      </w:r>
      <w:r w:rsidR="00AF4C8D">
        <w:t xml:space="preserve">establish the </w:t>
      </w:r>
      <w:r w:rsidR="00731266">
        <w:t xml:space="preserve">impact </w:t>
      </w:r>
      <w:r w:rsidR="00AF4C8D">
        <w:t xml:space="preserve">of </w:t>
      </w:r>
      <w:r>
        <w:t xml:space="preserve">such </w:t>
      </w:r>
      <w:r w:rsidR="00AF4C8D">
        <w:t xml:space="preserve">partnerships on </w:t>
      </w:r>
      <w:r w:rsidR="00731266">
        <w:t>lecturer</w:t>
      </w:r>
      <w:r w:rsidR="00AF4C8D">
        <w:t xml:space="preserve"> improvement</w:t>
      </w:r>
      <w:r w:rsidR="00731266">
        <w:t xml:space="preserve">. </w:t>
      </w:r>
    </w:p>
    <w:p w14:paraId="4BEDD584" w14:textId="77777777" w:rsidR="00A96678" w:rsidRPr="004170F6" w:rsidRDefault="00551E56" w:rsidP="008C07CF">
      <w:r w:rsidRPr="00233C06">
        <w:t xml:space="preserve">Outcome </w:t>
      </w:r>
      <w:r w:rsidR="00F17F98" w:rsidRPr="00233C06">
        <w:t>4.3.3</w:t>
      </w:r>
      <w:r w:rsidR="00F700D5" w:rsidRPr="00233C06">
        <w:t xml:space="preserve">: </w:t>
      </w:r>
      <w:r w:rsidR="009859B1" w:rsidRPr="00233C06">
        <w:t xml:space="preserve">The academic personnel at colleges are able to offer relevant education and training of the </w:t>
      </w:r>
      <w:r w:rsidRPr="00233C06">
        <w:t xml:space="preserve">required </w:t>
      </w:r>
      <w:r w:rsidR="009859B1" w:rsidRPr="00233C06">
        <w:t xml:space="preserve">quality. </w:t>
      </w:r>
    </w:p>
    <w:p w14:paraId="7E250470" w14:textId="77777777" w:rsidR="00156FE1" w:rsidRDefault="004170F6" w:rsidP="008C07CF">
      <w:r>
        <w:t>The quality</w:t>
      </w:r>
      <w:r w:rsidR="003158EC">
        <w:t xml:space="preserve"> of college lecturers ha</w:t>
      </w:r>
      <w:r w:rsidR="00E13192">
        <w:t>d</w:t>
      </w:r>
      <w:r w:rsidR="003158EC">
        <w:t xml:space="preserve"> been</w:t>
      </w:r>
      <w:r>
        <w:t xml:space="preserve"> </w:t>
      </w:r>
      <w:r w:rsidR="003158EC">
        <w:t xml:space="preserve">identified </w:t>
      </w:r>
      <w:r>
        <w:t>as a contributing factor to the lack of quality</w:t>
      </w:r>
      <w:r w:rsidR="003158EC">
        <w:t xml:space="preserve"> </w:t>
      </w:r>
      <w:r w:rsidR="00013586">
        <w:t>teaching as</w:t>
      </w:r>
      <w:r w:rsidR="003158EC">
        <w:t xml:space="preserve"> highlighted under 4.3.1. The professional body within colleges had </w:t>
      </w:r>
      <w:r w:rsidR="00D0405F">
        <w:t xml:space="preserve">different </w:t>
      </w:r>
      <w:r w:rsidR="00274FC0">
        <w:t xml:space="preserve">teaching and training </w:t>
      </w:r>
      <w:r w:rsidR="003158EC">
        <w:t xml:space="preserve">qualities. </w:t>
      </w:r>
      <w:r w:rsidR="00E13192">
        <w:t>On the one hand, t</w:t>
      </w:r>
      <w:r w:rsidR="003158EC">
        <w:t>here were lecturers who had teacher qualification</w:t>
      </w:r>
      <w:r w:rsidR="00274FC0">
        <w:t>s</w:t>
      </w:r>
      <w:r w:rsidR="003158EC">
        <w:t xml:space="preserve">, but lacked industrial </w:t>
      </w:r>
      <w:r w:rsidR="00E13192">
        <w:t xml:space="preserve">experience and </w:t>
      </w:r>
      <w:r w:rsidR="003158EC">
        <w:t>exposure. On the other hand, there were ind</w:t>
      </w:r>
      <w:r w:rsidR="00274FC0">
        <w:t>ustry ‘exp</w:t>
      </w:r>
      <w:r w:rsidR="003158EC">
        <w:t>erts</w:t>
      </w:r>
      <w:r w:rsidR="00274FC0">
        <w:t>’</w:t>
      </w:r>
      <w:r w:rsidR="003158EC">
        <w:t xml:space="preserve"> who had no pedagogical qualifications</w:t>
      </w:r>
      <w:r w:rsidR="00E13192">
        <w:t xml:space="preserve"> and classroom practice</w:t>
      </w:r>
      <w:r w:rsidR="003158EC">
        <w:t>. In the worse scenario, so</w:t>
      </w:r>
      <w:r w:rsidR="00274FC0">
        <w:t xml:space="preserve">me of the </w:t>
      </w:r>
      <w:r w:rsidR="00013586">
        <w:t>tutors</w:t>
      </w:r>
      <w:r w:rsidR="00274FC0">
        <w:t xml:space="preserve"> did not have the </w:t>
      </w:r>
      <w:r w:rsidR="003158EC">
        <w:t xml:space="preserve">mastery of any of the two qualities. The </w:t>
      </w:r>
      <w:r w:rsidR="00E13192">
        <w:t xml:space="preserve">universities </w:t>
      </w:r>
      <w:r w:rsidR="003158EC">
        <w:t>did not have</w:t>
      </w:r>
      <w:r w:rsidR="003158EC" w:rsidRPr="006C4806">
        <w:rPr>
          <w:lang w:val="en-ZA"/>
        </w:rPr>
        <w:t xml:space="preserve"> specialised</w:t>
      </w:r>
      <w:r w:rsidR="003158EC">
        <w:t xml:space="preserve"> </w:t>
      </w:r>
      <w:proofErr w:type="spellStart"/>
      <w:r w:rsidR="003158EC">
        <w:t>programmes</w:t>
      </w:r>
      <w:proofErr w:type="spellEnd"/>
      <w:r w:rsidR="00E13192">
        <w:t xml:space="preserve"> for </w:t>
      </w:r>
      <w:r w:rsidR="00013586">
        <w:t>college</w:t>
      </w:r>
      <w:r w:rsidR="00E13192">
        <w:t xml:space="preserve"> lecturers. Instead, they </w:t>
      </w:r>
      <w:r w:rsidR="003158EC">
        <w:t xml:space="preserve">had adapted mainstream </w:t>
      </w:r>
      <w:r w:rsidR="00E13192">
        <w:t xml:space="preserve">teachers training </w:t>
      </w:r>
      <w:proofErr w:type="spellStart"/>
      <w:r w:rsidR="003158EC">
        <w:t>programmes</w:t>
      </w:r>
      <w:proofErr w:type="spellEnd"/>
      <w:r w:rsidR="003158EC">
        <w:t xml:space="preserve"> for the pu</w:t>
      </w:r>
      <w:r w:rsidR="00274FC0">
        <w:t xml:space="preserve">rpose. </w:t>
      </w:r>
      <w:r w:rsidR="00EF3BF6">
        <w:t xml:space="preserve">Papier argued at the New Linkages Conference that teacher education at </w:t>
      </w:r>
      <w:r w:rsidR="0019340F">
        <w:t xml:space="preserve">TVET </w:t>
      </w:r>
      <w:r w:rsidR="00EF3BF6">
        <w:t xml:space="preserve">colleges should have a strong subject knowledge, </w:t>
      </w:r>
      <w:r w:rsidR="0019340F">
        <w:t xml:space="preserve">strong </w:t>
      </w:r>
      <w:r w:rsidR="00EF3BF6">
        <w:t>teaching methodology and workplace exposure and experience” (CEPD and Bronx Community College, 201</w:t>
      </w:r>
      <w:r w:rsidR="00156FE1">
        <w:t>2).</w:t>
      </w:r>
    </w:p>
    <w:tbl>
      <w:tblPr>
        <w:tblStyle w:val="TableGrid"/>
        <w:tblW w:w="0" w:type="auto"/>
        <w:tblLook w:val="04A0" w:firstRow="1" w:lastRow="0" w:firstColumn="1" w:lastColumn="0" w:noHBand="0" w:noVBand="1"/>
      </w:tblPr>
      <w:tblGrid>
        <w:gridCol w:w="2022"/>
        <w:gridCol w:w="7328"/>
      </w:tblGrid>
      <w:tr w:rsidR="00156FE1" w:rsidRPr="00F47C02" w14:paraId="3A75B6DB" w14:textId="77777777" w:rsidTr="00076022">
        <w:trPr>
          <w:tblHeader/>
        </w:trPr>
        <w:tc>
          <w:tcPr>
            <w:tcW w:w="9350" w:type="dxa"/>
            <w:gridSpan w:val="2"/>
            <w:shd w:val="clear" w:color="auto" w:fill="943634" w:themeFill="accent2" w:themeFillShade="BF"/>
          </w:tcPr>
          <w:p w14:paraId="6D283492" w14:textId="77777777" w:rsidR="00156FE1" w:rsidRPr="003F3AE8" w:rsidRDefault="00156FE1" w:rsidP="008C07CF">
            <w:r w:rsidRPr="004B203E">
              <w:lastRenderedPageBreak/>
              <w:t xml:space="preserve">Output 4.3.3.1: </w:t>
            </w:r>
            <w:r w:rsidRPr="004B203E">
              <w:rPr>
                <w:lang w:val="en-ZA" w:eastAsia="en-ZA"/>
              </w:rPr>
              <w:t>The capacity of college educators to deliver programmes is reviewed. Skills development programmes, including work placement opportunities, are devised to meet the needs of the college educators.</w:t>
            </w:r>
          </w:p>
        </w:tc>
      </w:tr>
      <w:tr w:rsidR="00156FE1" w:rsidRPr="00F47C02" w14:paraId="5E4111AB" w14:textId="77777777" w:rsidTr="00076022">
        <w:tc>
          <w:tcPr>
            <w:tcW w:w="2022" w:type="dxa"/>
            <w:shd w:val="clear" w:color="auto" w:fill="D9D9D9" w:themeFill="background1" w:themeFillShade="D9"/>
          </w:tcPr>
          <w:p w14:paraId="50F4C61A" w14:textId="77777777" w:rsidR="00156FE1" w:rsidRPr="001F269C" w:rsidRDefault="00156FE1" w:rsidP="008C07CF">
            <w:r w:rsidRPr="004B203E">
              <w:t xml:space="preserve">How many colleges had educators participating in capacity building </w:t>
            </w:r>
            <w:proofErr w:type="spellStart"/>
            <w:r w:rsidRPr="004B203E">
              <w:t>programmes</w:t>
            </w:r>
            <w:proofErr w:type="spellEnd"/>
            <w:r w:rsidRPr="004B203E">
              <w:t>?</w:t>
            </w:r>
          </w:p>
        </w:tc>
        <w:tc>
          <w:tcPr>
            <w:tcW w:w="7328" w:type="dxa"/>
            <w:shd w:val="clear" w:color="auto" w:fill="auto"/>
          </w:tcPr>
          <w:p w14:paraId="5960A56A" w14:textId="77777777" w:rsidR="00156FE1" w:rsidRDefault="00156FE1" w:rsidP="008C07CF">
            <w:r w:rsidRPr="0037514B">
              <w:t xml:space="preserve">Evidence reported in some annual reports indicated that SETAs were involved in facilitating workplace exposure for lecturers. </w:t>
            </w:r>
            <w:proofErr w:type="spellStart"/>
            <w:r w:rsidRPr="0037514B">
              <w:t>MerSETA</w:t>
            </w:r>
            <w:proofErr w:type="spellEnd"/>
            <w:r w:rsidRPr="0037514B">
              <w:t xml:space="preserve"> reported </w:t>
            </w:r>
            <w:r>
              <w:t xml:space="preserve">in its annual reports that it had even </w:t>
            </w:r>
            <w:r w:rsidRPr="0037514B">
              <w:t xml:space="preserve">international exposure </w:t>
            </w:r>
            <w:proofErr w:type="spellStart"/>
            <w:r w:rsidRPr="0037514B">
              <w:t>programmes</w:t>
            </w:r>
            <w:proofErr w:type="spellEnd"/>
            <w:r w:rsidRPr="0037514B">
              <w:t xml:space="preserve"> for college lecturers.</w:t>
            </w:r>
            <w:r>
              <w:t xml:space="preserve"> </w:t>
            </w:r>
            <w:r w:rsidRPr="0037514B">
              <w:t xml:space="preserve">CHIETA for example, used its relationship with Western Cape colleges to facilitate lecturers visits to the industry and visa-versa. ETDP had facilitated a partnership between the College of Cape Town and </w:t>
            </w:r>
            <w:proofErr w:type="spellStart"/>
            <w:r w:rsidRPr="0037514B">
              <w:t>Unisa</w:t>
            </w:r>
            <w:proofErr w:type="spellEnd"/>
            <w:r w:rsidRPr="0037514B">
              <w:t xml:space="preserve">, funded full-time students to study </w:t>
            </w:r>
            <w:proofErr w:type="spellStart"/>
            <w:r>
              <w:t>BEd</w:t>
            </w:r>
            <w:proofErr w:type="spellEnd"/>
            <w:r w:rsidRPr="0037514B">
              <w:t xml:space="preserve"> and </w:t>
            </w:r>
            <w:r>
              <w:t>Post Graduate Certificate in Education (</w:t>
            </w:r>
            <w:r w:rsidRPr="0037514B">
              <w:t>PGCE</w:t>
            </w:r>
            <w:r>
              <w:t>)</w:t>
            </w:r>
            <w:r w:rsidRPr="0037514B">
              <w:t xml:space="preserve"> at the Cape Peninsula University of Technology. Further bursaries were awarded for False Bay FET college lecturers to enroll for PGCE and National Professional Diploma in Education (NPDE). </w:t>
            </w:r>
            <w:r>
              <w:t xml:space="preserve">In most cases, SETA funding took the form </w:t>
            </w:r>
            <w:r w:rsidRPr="0037514B">
              <w:t xml:space="preserve">bursaries and skills </w:t>
            </w:r>
            <w:proofErr w:type="spellStart"/>
            <w:r w:rsidRPr="0037514B">
              <w:t>programmes</w:t>
            </w:r>
            <w:proofErr w:type="spellEnd"/>
            <w:r w:rsidRPr="0037514B">
              <w:t xml:space="preserve"> (</w:t>
            </w:r>
            <w:proofErr w:type="spellStart"/>
            <w:r w:rsidRPr="0037514B">
              <w:t>Singizi</w:t>
            </w:r>
            <w:proofErr w:type="spellEnd"/>
            <w:r w:rsidRPr="0037514B">
              <w:t xml:space="preserve"> Report).</w:t>
            </w:r>
            <w:r>
              <w:t xml:space="preserve"> A partnership between Port Elizabeth FET college and the Nelson Mandela Metro University (NMMU) benefitted about 22 lecturers to register for their Masters degrees and 4 Doctorates (New Linkages Conference, 2012).</w:t>
            </w:r>
          </w:p>
          <w:p w14:paraId="6BB6C8C5" w14:textId="77777777" w:rsidR="000B6E53" w:rsidRDefault="000B6E53" w:rsidP="008C07CF"/>
        </w:tc>
      </w:tr>
    </w:tbl>
    <w:p w14:paraId="014FC0BD" w14:textId="77777777" w:rsidR="00156FE1" w:rsidRDefault="00156FE1" w:rsidP="008C07CF"/>
    <w:p w14:paraId="6BA1D08C" w14:textId="77777777" w:rsidR="00285964" w:rsidRDefault="004830F2" w:rsidP="008C07CF">
      <w:r>
        <w:t>SUMMARY</w:t>
      </w:r>
    </w:p>
    <w:p w14:paraId="39CA8C6A" w14:textId="77777777" w:rsidR="00274FC0" w:rsidRPr="00274FC0" w:rsidRDefault="00013586" w:rsidP="008C07CF">
      <w:r>
        <w:t>To</w:t>
      </w:r>
      <w:r w:rsidR="00274FC0">
        <w:t xml:space="preserve"> some extent, SETAs were involved in facilitating capacity building </w:t>
      </w:r>
      <w:r w:rsidR="00193CE0">
        <w:t xml:space="preserve">and career development </w:t>
      </w:r>
      <w:r w:rsidR="00274FC0">
        <w:t>for college lecturers</w:t>
      </w:r>
      <w:r w:rsidR="001200D1">
        <w:t xml:space="preserve"> in areas </w:t>
      </w:r>
      <w:r w:rsidR="00405A85">
        <w:t xml:space="preserve">including; </w:t>
      </w:r>
      <w:r w:rsidR="00E24F21">
        <w:t xml:space="preserve">obtaining and </w:t>
      </w:r>
      <w:r w:rsidR="00274FC0">
        <w:t>improving qualifications</w:t>
      </w:r>
      <w:r w:rsidR="001200D1">
        <w:t xml:space="preserve">, </w:t>
      </w:r>
      <w:r w:rsidR="00274FC0">
        <w:t>on-campus support and industry-based mentorship by experienced industry personnel.</w:t>
      </w:r>
      <w:r w:rsidR="001200D1">
        <w:t xml:space="preserve"> </w:t>
      </w:r>
      <w:r w:rsidR="00D66623">
        <w:t>However,</w:t>
      </w:r>
      <w:r w:rsidR="00D76357">
        <w:t xml:space="preserve"> the general picture is one of limited engagement between SETAs and public TVET colleges. </w:t>
      </w:r>
      <w:r w:rsidR="00FA141B">
        <w:t xml:space="preserve">Most of the skills development funded by SETAs </w:t>
      </w:r>
      <w:r w:rsidR="0019340F">
        <w:t xml:space="preserve">were </w:t>
      </w:r>
      <w:r w:rsidR="00D66623">
        <w:t>conducted</w:t>
      </w:r>
      <w:r w:rsidR="00FA141B">
        <w:t xml:space="preserve"> by private education and training providers. Some projects involved colleges in the delivery of sector qualifications, and there was some work done by SETA ETQAs to support accreditation and </w:t>
      </w:r>
      <w:proofErr w:type="spellStart"/>
      <w:r w:rsidR="00FA141B">
        <w:t>programme</w:t>
      </w:r>
      <w:proofErr w:type="spellEnd"/>
      <w:r w:rsidR="00FA141B">
        <w:t xml:space="preserve"> approval, but these were not the norm, nor were the </w:t>
      </w:r>
      <w:proofErr w:type="spellStart"/>
      <w:r w:rsidR="00FA141B">
        <w:t>programmes</w:t>
      </w:r>
      <w:proofErr w:type="spellEnd"/>
      <w:r w:rsidR="00FA141B">
        <w:t xml:space="preserve"> very large or involving large numbers of learners. In </w:t>
      </w:r>
      <w:r w:rsidR="00D66623">
        <w:t>general,</w:t>
      </w:r>
      <w:r w:rsidR="00FA141B">
        <w:t xml:space="preserve"> TVET colleges that did engage in delivery of occupational </w:t>
      </w:r>
      <w:proofErr w:type="spellStart"/>
      <w:r w:rsidR="00FA141B">
        <w:t>programmes</w:t>
      </w:r>
      <w:proofErr w:type="spellEnd"/>
      <w:r w:rsidR="00FA141B">
        <w:t xml:space="preserve"> did so by bidding for work that was put out to tender by the SETAs. The requirement to make application for grants in an open tender process generally militated against public TVET colleges getting involved in SETA funded </w:t>
      </w:r>
      <w:proofErr w:type="spellStart"/>
      <w:r w:rsidR="00FA141B">
        <w:t>programmes</w:t>
      </w:r>
      <w:proofErr w:type="spellEnd"/>
      <w:r w:rsidR="00FA141B">
        <w:t xml:space="preserve">. </w:t>
      </w:r>
    </w:p>
    <w:p w14:paraId="2A797FC6" w14:textId="77777777" w:rsidR="00795C03" w:rsidRPr="008224C8" w:rsidRDefault="00795C03" w:rsidP="008C07CF">
      <w:pPr>
        <w:pStyle w:val="Heading2"/>
      </w:pPr>
      <w:bookmarkStart w:id="26" w:name="_Toc488525872"/>
      <w:r w:rsidRPr="008224C8">
        <w:rPr>
          <w:rFonts w:cstheme="minorHAnsi"/>
        </w:rPr>
        <w:t xml:space="preserve">Goal 4: </w:t>
      </w:r>
      <w:r w:rsidRPr="008224C8">
        <w:t>Addressing the low level of youth and adult language and numeracy skills</w:t>
      </w:r>
      <w:r w:rsidRPr="00795C03">
        <w:t xml:space="preserve"> </w:t>
      </w:r>
      <w:r w:rsidRPr="008224C8">
        <w:t>to enable additional training</w:t>
      </w:r>
      <w:bookmarkEnd w:id="26"/>
      <w:r w:rsidRPr="008224C8">
        <w:t xml:space="preserve"> </w:t>
      </w:r>
    </w:p>
    <w:p w14:paraId="12278A6D" w14:textId="77777777" w:rsidR="00C64695" w:rsidRDefault="00C64695" w:rsidP="008C07CF"/>
    <w:p w14:paraId="11F6339E" w14:textId="77777777" w:rsidR="00526787" w:rsidRPr="008224C8" w:rsidRDefault="007F6175" w:rsidP="008C07CF">
      <w:r w:rsidRPr="008224C8">
        <w:lastRenderedPageBreak/>
        <w:t>Outcome 4.4.1</w:t>
      </w:r>
      <w:r w:rsidR="00F700D5" w:rsidRPr="008224C8">
        <w:t xml:space="preserve">: </w:t>
      </w:r>
      <w:r w:rsidRPr="008224C8">
        <w:t xml:space="preserve">A national strategy is in place to provide all young people leaving school with an opportunity to engage in training or work experience, and improve their employability. </w:t>
      </w:r>
    </w:p>
    <w:p w14:paraId="2D26FAD5" w14:textId="77777777" w:rsidR="00682B1A" w:rsidRDefault="00215E4D" w:rsidP="008C07CF">
      <w:r w:rsidRPr="00C9591D">
        <w:t>In 2010</w:t>
      </w:r>
      <w:r w:rsidR="00F62217" w:rsidRPr="00C9591D">
        <w:t>/11</w:t>
      </w:r>
      <w:r w:rsidRPr="00C9591D">
        <w:t xml:space="preserve">, the total number of </w:t>
      </w:r>
      <w:r w:rsidR="00C9591D" w:rsidRPr="00C9591D">
        <w:t xml:space="preserve">youth who were neither in employment </w:t>
      </w:r>
      <w:r w:rsidR="0019340F">
        <w:t>n</w:t>
      </w:r>
      <w:r w:rsidR="00013586" w:rsidRPr="00C9591D">
        <w:t>or in</w:t>
      </w:r>
      <w:r w:rsidR="00C9591D" w:rsidRPr="00C9591D">
        <w:t xml:space="preserve"> education and training (NEETS) was </w:t>
      </w:r>
      <w:r w:rsidR="00F62217" w:rsidRPr="00C9591D">
        <w:t xml:space="preserve">estimated to be </w:t>
      </w:r>
      <w:r w:rsidR="00C9591D" w:rsidRPr="00C9591D">
        <w:t xml:space="preserve">around </w:t>
      </w:r>
      <w:r w:rsidR="00936603">
        <w:t>3.3</w:t>
      </w:r>
      <w:r w:rsidR="00F62217" w:rsidRPr="00C9591D">
        <w:t xml:space="preserve"> million</w:t>
      </w:r>
      <w:r w:rsidR="00936603" w:rsidRPr="00C9591D">
        <w:t xml:space="preserve">, </w:t>
      </w:r>
      <w:r w:rsidR="00F84562" w:rsidRPr="00C9591D">
        <w:t>(</w:t>
      </w:r>
      <w:r w:rsidR="00F84562">
        <w:t xml:space="preserve">Stats SA 2013, </w:t>
      </w:r>
      <w:r w:rsidR="00936603">
        <w:t>DHET Fact Sheet, 2014)</w:t>
      </w:r>
      <w:r w:rsidR="005B7657">
        <w:t xml:space="preserve">. The DHET was expected to establish </w:t>
      </w:r>
      <w:r w:rsidR="008A76F3">
        <w:t xml:space="preserve">strategic </w:t>
      </w:r>
      <w:r w:rsidR="005B7657">
        <w:t>partnership</w:t>
      </w:r>
      <w:r w:rsidR="008A76F3">
        <w:t xml:space="preserve">s with the youth sector </w:t>
      </w:r>
      <w:r w:rsidR="005B7657">
        <w:t xml:space="preserve">to </w:t>
      </w:r>
      <w:r w:rsidR="008A76F3">
        <w:t xml:space="preserve">identify skills needs and </w:t>
      </w:r>
      <w:r w:rsidR="005B7657">
        <w:t xml:space="preserve">aggressively initiate </w:t>
      </w:r>
      <w:r w:rsidR="008A76F3">
        <w:t xml:space="preserve">integrated </w:t>
      </w:r>
      <w:r w:rsidR="00013586">
        <w:t>interventions</w:t>
      </w:r>
      <w:r w:rsidR="00E24F21">
        <w:t xml:space="preserve"> that would increase</w:t>
      </w:r>
      <w:r w:rsidR="005B7657">
        <w:t xml:space="preserve"> access to </w:t>
      </w:r>
      <w:r w:rsidR="008A76F3">
        <w:t xml:space="preserve">preparatory </w:t>
      </w:r>
      <w:r w:rsidR="005B7657">
        <w:t>skills</w:t>
      </w:r>
      <w:r w:rsidR="008A76F3">
        <w:t xml:space="preserve"> </w:t>
      </w:r>
      <w:proofErr w:type="spellStart"/>
      <w:r w:rsidR="008A76F3">
        <w:t>programmes</w:t>
      </w:r>
      <w:proofErr w:type="spellEnd"/>
      <w:r w:rsidR="00D84C4A">
        <w:t>.</w:t>
      </w:r>
      <w:r w:rsidR="005B7657">
        <w:t xml:space="preserve"> </w:t>
      </w:r>
    </w:p>
    <w:p w14:paraId="4B718D54" w14:textId="77777777" w:rsidR="00156FE1" w:rsidRDefault="00156FE1" w:rsidP="008C07CF"/>
    <w:tbl>
      <w:tblPr>
        <w:tblStyle w:val="TableGrid"/>
        <w:tblW w:w="0" w:type="auto"/>
        <w:tblLook w:val="04A0" w:firstRow="1" w:lastRow="0" w:firstColumn="1" w:lastColumn="0" w:noHBand="0" w:noVBand="1"/>
      </w:tblPr>
      <w:tblGrid>
        <w:gridCol w:w="2022"/>
        <w:gridCol w:w="7328"/>
      </w:tblGrid>
      <w:tr w:rsidR="00156FE1" w:rsidRPr="00F47C02" w14:paraId="7D220646" w14:textId="77777777" w:rsidTr="00076022">
        <w:trPr>
          <w:tblHeader/>
        </w:trPr>
        <w:tc>
          <w:tcPr>
            <w:tcW w:w="9350" w:type="dxa"/>
            <w:gridSpan w:val="2"/>
            <w:shd w:val="clear" w:color="auto" w:fill="943634" w:themeFill="accent2" w:themeFillShade="BF"/>
          </w:tcPr>
          <w:p w14:paraId="5E47A216" w14:textId="77777777" w:rsidR="00156FE1" w:rsidRPr="003F3AE8" w:rsidRDefault="00156FE1" w:rsidP="008C07CF">
            <w:r w:rsidRPr="000537CC">
              <w:t>Output 4.4.1.1</w:t>
            </w:r>
            <w:r w:rsidRPr="000537CC">
              <w:rPr>
                <w:lang w:val="en-ZA" w:eastAsia="en-ZA"/>
              </w:rPr>
              <w:t>:</w:t>
            </w:r>
            <w:r w:rsidRPr="000537CC">
              <w:rPr>
                <w:lang w:val="en-ZA" w:eastAsia="en-ZA"/>
              </w:rPr>
              <w:tab/>
              <w:t>A DHET-led process, including stakeholders, develops a strategy supported by all stakeholders.</w:t>
            </w:r>
          </w:p>
        </w:tc>
      </w:tr>
      <w:tr w:rsidR="00156FE1" w:rsidRPr="00F47C02" w14:paraId="4BE79433" w14:textId="77777777" w:rsidTr="00076022">
        <w:tc>
          <w:tcPr>
            <w:tcW w:w="2022" w:type="dxa"/>
            <w:shd w:val="clear" w:color="auto" w:fill="D9D9D9" w:themeFill="background1" w:themeFillShade="D9"/>
          </w:tcPr>
          <w:p w14:paraId="1D5794EE" w14:textId="77777777" w:rsidR="00156FE1" w:rsidRPr="001F269C" w:rsidRDefault="00156FE1" w:rsidP="008C07CF">
            <w:r w:rsidRPr="00FA141B">
              <w:t>What strategy was in place?</w:t>
            </w:r>
          </w:p>
        </w:tc>
        <w:tc>
          <w:tcPr>
            <w:tcW w:w="7328" w:type="dxa"/>
            <w:shd w:val="clear" w:color="auto" w:fill="auto"/>
          </w:tcPr>
          <w:p w14:paraId="43F93EB6" w14:textId="77777777" w:rsidR="00156FE1" w:rsidRDefault="00156FE1" w:rsidP="008C07CF">
            <w:pPr>
              <w:rPr>
                <w:rFonts w:cstheme="minorHAnsi"/>
              </w:rPr>
            </w:pPr>
            <w:r w:rsidRPr="00D10F23">
              <w:t xml:space="preserve">There was no strategy in place. </w:t>
            </w:r>
          </w:p>
        </w:tc>
      </w:tr>
    </w:tbl>
    <w:p w14:paraId="0E2D3854" w14:textId="77777777" w:rsidR="004A08B1" w:rsidRDefault="004A08B1" w:rsidP="008C07CF"/>
    <w:tbl>
      <w:tblPr>
        <w:tblStyle w:val="TableGrid"/>
        <w:tblW w:w="0" w:type="auto"/>
        <w:tblLook w:val="04A0" w:firstRow="1" w:lastRow="0" w:firstColumn="1" w:lastColumn="0" w:noHBand="0" w:noVBand="1"/>
      </w:tblPr>
      <w:tblGrid>
        <w:gridCol w:w="2022"/>
        <w:gridCol w:w="7328"/>
      </w:tblGrid>
      <w:tr w:rsidR="008D55A7" w:rsidRPr="00F47C02" w14:paraId="02A3A155" w14:textId="77777777" w:rsidTr="00813248">
        <w:trPr>
          <w:tblHeader/>
        </w:trPr>
        <w:tc>
          <w:tcPr>
            <w:tcW w:w="9350" w:type="dxa"/>
            <w:gridSpan w:val="2"/>
            <w:shd w:val="clear" w:color="auto" w:fill="943634" w:themeFill="accent2" w:themeFillShade="BF"/>
          </w:tcPr>
          <w:p w14:paraId="77D6B326" w14:textId="77777777" w:rsidR="008D55A7" w:rsidRPr="003F3AE8" w:rsidRDefault="008D55A7" w:rsidP="008C07CF">
            <w:r w:rsidRPr="004B203E">
              <w:rPr>
                <w:bCs/>
                <w:lang w:val="en-ZA" w:eastAsia="en-ZA"/>
              </w:rPr>
              <w:t>Output 4.4.1.2 N</w:t>
            </w:r>
            <w:r w:rsidRPr="004B203E">
              <w:rPr>
                <w:lang w:val="en-ZA" w:eastAsia="en-ZA"/>
              </w:rPr>
              <w:t>ational database tracks training and work opportunities, and reports on implementation of the strategy</w:t>
            </w:r>
          </w:p>
        </w:tc>
      </w:tr>
      <w:tr w:rsidR="008D55A7" w:rsidRPr="00F47C02" w14:paraId="3CA2E976" w14:textId="77777777" w:rsidTr="00813248">
        <w:tc>
          <w:tcPr>
            <w:tcW w:w="2022" w:type="dxa"/>
            <w:shd w:val="clear" w:color="auto" w:fill="D9D9D9" w:themeFill="background1" w:themeFillShade="D9"/>
          </w:tcPr>
          <w:p w14:paraId="5A70FC57" w14:textId="77777777" w:rsidR="008D55A7" w:rsidRPr="001F269C" w:rsidRDefault="008D55A7" w:rsidP="008C07CF">
            <w:r w:rsidRPr="00FA141B">
              <w:t>Was there a national database?</w:t>
            </w:r>
          </w:p>
        </w:tc>
        <w:tc>
          <w:tcPr>
            <w:tcW w:w="7328" w:type="dxa"/>
            <w:shd w:val="clear" w:color="auto" w:fill="auto"/>
          </w:tcPr>
          <w:p w14:paraId="3B8D73DE" w14:textId="77777777" w:rsidR="008D55A7" w:rsidRDefault="008D55A7" w:rsidP="008C07CF">
            <w:r>
              <w:t xml:space="preserve">There was no </w:t>
            </w:r>
            <w:r w:rsidR="0013409A">
              <w:t>database</w:t>
            </w:r>
            <w:r>
              <w:t xml:space="preserve"> in place.</w:t>
            </w:r>
          </w:p>
        </w:tc>
      </w:tr>
      <w:tr w:rsidR="008D55A7" w:rsidRPr="00F47C02" w14:paraId="7978F9C9" w14:textId="77777777" w:rsidTr="00813248">
        <w:tc>
          <w:tcPr>
            <w:tcW w:w="2022" w:type="dxa"/>
            <w:shd w:val="clear" w:color="auto" w:fill="D9D9D9" w:themeFill="background1" w:themeFillShade="D9"/>
          </w:tcPr>
          <w:p w14:paraId="50E3173A" w14:textId="77777777" w:rsidR="008D55A7" w:rsidRPr="00FA141B" w:rsidRDefault="008D55A7" w:rsidP="008C07CF">
            <w:r w:rsidRPr="00FA141B">
              <w:t>What was in place?</w:t>
            </w:r>
          </w:p>
        </w:tc>
        <w:tc>
          <w:tcPr>
            <w:tcW w:w="7328" w:type="dxa"/>
            <w:shd w:val="clear" w:color="auto" w:fill="auto"/>
          </w:tcPr>
          <w:p w14:paraId="32FEF13A" w14:textId="77777777" w:rsidR="008D55A7" w:rsidRDefault="0013409A" w:rsidP="008C07CF">
            <w:r>
              <w:t xml:space="preserve">Various databases existed in SETAs, in the Department of </w:t>
            </w:r>
            <w:proofErr w:type="spellStart"/>
            <w:r>
              <w:t>Labour</w:t>
            </w:r>
            <w:proofErr w:type="spellEnd"/>
            <w:r>
              <w:t xml:space="preserve"> </w:t>
            </w:r>
            <w:proofErr w:type="spellStart"/>
            <w:r>
              <w:t>centres</w:t>
            </w:r>
            <w:proofErr w:type="spellEnd"/>
            <w:r>
              <w:t xml:space="preserve">, in provinces, but there was no integration or even coordination of the different data sets. </w:t>
            </w:r>
          </w:p>
        </w:tc>
      </w:tr>
    </w:tbl>
    <w:p w14:paraId="31138B4E" w14:textId="77777777" w:rsidR="008D55A7" w:rsidRDefault="008D55A7" w:rsidP="008C07CF"/>
    <w:tbl>
      <w:tblPr>
        <w:tblStyle w:val="TableGrid"/>
        <w:tblW w:w="0" w:type="auto"/>
        <w:tblLook w:val="04A0" w:firstRow="1" w:lastRow="0" w:firstColumn="1" w:lastColumn="0" w:noHBand="0" w:noVBand="1"/>
      </w:tblPr>
      <w:tblGrid>
        <w:gridCol w:w="2022"/>
        <w:gridCol w:w="7328"/>
      </w:tblGrid>
      <w:tr w:rsidR="008D55A7" w:rsidRPr="00F47C02" w14:paraId="436DC9A4" w14:textId="77777777" w:rsidTr="00813248">
        <w:trPr>
          <w:tblHeader/>
        </w:trPr>
        <w:tc>
          <w:tcPr>
            <w:tcW w:w="9350" w:type="dxa"/>
            <w:gridSpan w:val="2"/>
            <w:shd w:val="clear" w:color="auto" w:fill="943634" w:themeFill="accent2" w:themeFillShade="BF"/>
          </w:tcPr>
          <w:p w14:paraId="55D40FC5" w14:textId="77777777" w:rsidR="008D55A7" w:rsidRPr="003F3AE8" w:rsidRDefault="008D55A7" w:rsidP="008C07CF">
            <w:r w:rsidRPr="00FA141B">
              <w:t>Output 4.4.1.3:</w:t>
            </w:r>
            <w:r w:rsidRPr="00FA141B">
              <w:tab/>
            </w:r>
            <w:r w:rsidRPr="00FA141B">
              <w:rPr>
                <w:lang w:val="en-ZA" w:eastAsia="en-ZA"/>
              </w:rPr>
              <w:t>The DHET partners with stakeholders in the youth sector to put in place training and work experience projects for young people.</w:t>
            </w:r>
          </w:p>
        </w:tc>
      </w:tr>
      <w:tr w:rsidR="008D55A7" w:rsidRPr="00F47C02" w14:paraId="21F7A8DB" w14:textId="77777777" w:rsidTr="00813248">
        <w:tc>
          <w:tcPr>
            <w:tcW w:w="2022" w:type="dxa"/>
            <w:shd w:val="clear" w:color="auto" w:fill="D9D9D9" w:themeFill="background1" w:themeFillShade="D9"/>
          </w:tcPr>
          <w:p w14:paraId="65DD6095" w14:textId="77777777" w:rsidR="008D55A7" w:rsidRPr="001F269C" w:rsidRDefault="008D55A7" w:rsidP="008C07CF">
            <w:r w:rsidRPr="00FA141B">
              <w:t>What partnerships and plans were in place for young people to access training?</w:t>
            </w:r>
          </w:p>
        </w:tc>
        <w:tc>
          <w:tcPr>
            <w:tcW w:w="7328" w:type="dxa"/>
            <w:shd w:val="clear" w:color="auto" w:fill="auto"/>
          </w:tcPr>
          <w:p w14:paraId="78CF2352" w14:textId="77777777" w:rsidR="008D55A7" w:rsidRDefault="008D55A7" w:rsidP="008C07CF">
            <w:r>
              <w:t xml:space="preserve">Department </w:t>
            </w:r>
            <w:r w:rsidRPr="00FA141B">
              <w:t xml:space="preserve">did not have a formal partnership with the youth sector, </w:t>
            </w:r>
            <w:r>
              <w:t xml:space="preserve">in particular the National Youth Development Agency (NYDA) </w:t>
            </w:r>
            <w:r w:rsidRPr="00FA141B">
              <w:t xml:space="preserve">except that there were reported negotiations </w:t>
            </w:r>
            <w:r>
              <w:t xml:space="preserve">to initiate </w:t>
            </w:r>
            <w:r w:rsidRPr="00FA141B">
              <w:t>training and work experience projects for young people.</w:t>
            </w:r>
            <w:r>
              <w:t xml:space="preserve"> Concurrently, NYDA was in the process of developing an Integrated Youth Development Strategy, in line with its legislative mandate that instructs the Agency to promote a uniform approach by all </w:t>
            </w:r>
            <w:proofErr w:type="spellStart"/>
            <w:r>
              <w:t>organisations</w:t>
            </w:r>
            <w:proofErr w:type="spellEnd"/>
            <w:r>
              <w:t xml:space="preserve"> of the state, the private sector and NGOs on youth related matters. (NYDA Act, 2008). The Agency was also involved in multiple collaborations with SETAs though. Among other established youth partnerships, </w:t>
            </w:r>
            <w:proofErr w:type="spellStart"/>
            <w:r>
              <w:t>AgriSETA</w:t>
            </w:r>
            <w:proofErr w:type="spellEnd"/>
            <w:r>
              <w:t xml:space="preserve"> partnered with National Rural Youth Service Corps (NRYSC) on sector-related training. </w:t>
            </w:r>
          </w:p>
          <w:p w14:paraId="3D8AEFE8" w14:textId="77777777" w:rsidR="008D55A7" w:rsidRDefault="008D55A7" w:rsidP="008C07CF"/>
          <w:p w14:paraId="16227F82" w14:textId="77777777" w:rsidR="008D55A7" w:rsidRDefault="008D55A7" w:rsidP="008C07CF">
            <w:r>
              <w:t xml:space="preserve">There is a reported meeting in early 2011 involving the Minister of Higher Education and South African Graduate Development Graduate </w:t>
            </w:r>
            <w:r>
              <w:lastRenderedPageBreak/>
              <w:t>(SAGDA), the latter being an active partner is facilitation further development and recruitment opportunities for unemployed graduates. However, it was not clear what the meeting sought to achieve and what were the outcomes if indeed the meeting took place.</w:t>
            </w:r>
          </w:p>
          <w:p w14:paraId="44826B1A" w14:textId="77777777" w:rsidR="008D55A7" w:rsidRDefault="008D55A7" w:rsidP="008C07CF">
            <w:r>
              <w:t xml:space="preserve">The HWSETA initiated a </w:t>
            </w:r>
            <w:proofErr w:type="spellStart"/>
            <w:r>
              <w:t>Maths</w:t>
            </w:r>
            <w:proofErr w:type="spellEnd"/>
            <w:r>
              <w:t xml:space="preserve"> and Science Grant to TVET colleges, assisting about 1 325 learners to improve their Grade 12 Mathematics, and assisting in the placement of about 437 unemployed graduates with work experience grants (HWSETA Annual Report, 2010/11). Bank SETA initiated a bridging </w:t>
            </w:r>
            <w:proofErr w:type="spellStart"/>
            <w:r>
              <w:t>programme</w:t>
            </w:r>
            <w:proofErr w:type="spellEnd"/>
            <w:r>
              <w:t xml:space="preserve"> aimed at assisting disabled learners to enter the SETA’s </w:t>
            </w:r>
            <w:proofErr w:type="spellStart"/>
            <w:r>
              <w:t>learnership</w:t>
            </w:r>
            <w:proofErr w:type="spellEnd"/>
            <w:r>
              <w:t xml:space="preserve"> </w:t>
            </w:r>
            <w:proofErr w:type="spellStart"/>
            <w:r>
              <w:t>programmes</w:t>
            </w:r>
            <w:proofErr w:type="spellEnd"/>
            <w:r>
              <w:t>.</w:t>
            </w:r>
          </w:p>
          <w:p w14:paraId="5A53AC38" w14:textId="77777777" w:rsidR="0013409A" w:rsidRDefault="0013409A" w:rsidP="008C07CF"/>
          <w:p w14:paraId="5702D023" w14:textId="77777777" w:rsidR="0013409A" w:rsidRDefault="0013409A" w:rsidP="008C07CF">
            <w:pPr>
              <w:rPr>
                <w:rFonts w:cstheme="minorHAnsi"/>
              </w:rPr>
            </w:pPr>
            <w:r>
              <w:t>A</w:t>
            </w:r>
            <w:r w:rsidRPr="00D10F23">
              <w:t xml:space="preserve">ccording to the </w:t>
            </w:r>
            <w:r>
              <w:t xml:space="preserve">NSA National Skills Conference Report, </w:t>
            </w:r>
            <w:r w:rsidRPr="00D10F23">
              <w:t>NSF had</w:t>
            </w:r>
            <w:r w:rsidRPr="00FA141B">
              <w:t xml:space="preserve"> invested R</w:t>
            </w:r>
            <w:r>
              <w:t xml:space="preserve">56.5 million </w:t>
            </w:r>
            <w:r w:rsidRPr="00FA141B">
              <w:t>in the DTI</w:t>
            </w:r>
            <w:r w:rsidRPr="00D10F23">
              <w:t xml:space="preserve"> </w:t>
            </w:r>
            <w:proofErr w:type="spellStart"/>
            <w:r w:rsidRPr="00FA141B">
              <w:t>Monyetla</w:t>
            </w:r>
            <w:proofErr w:type="spellEnd"/>
            <w:r w:rsidRPr="00FA141B">
              <w:t xml:space="preserve">-Work Readiness </w:t>
            </w:r>
            <w:proofErr w:type="spellStart"/>
            <w:r w:rsidRPr="00FA141B">
              <w:t>Programme</w:t>
            </w:r>
            <w:proofErr w:type="spellEnd"/>
            <w:r w:rsidRPr="00FA141B">
              <w:t xml:space="preserve"> for 2010/11</w:t>
            </w:r>
            <w:r>
              <w:t xml:space="preserve"> involving</w:t>
            </w:r>
            <w:r w:rsidRPr="00FA141B">
              <w:t xml:space="preserve"> the Business Process Outsourcing project</w:t>
            </w:r>
            <w:r>
              <w:t>. More than 3000 unemployed youth were trained over a period of 10 months. Upon completion, 2 865 (including 50 people with disability) were assessed as competent and 2 467 (86%) were employed (DHET, 2013).</w:t>
            </w:r>
          </w:p>
        </w:tc>
      </w:tr>
    </w:tbl>
    <w:p w14:paraId="3515A0BE" w14:textId="77777777" w:rsidR="008D55A7" w:rsidRDefault="008D55A7" w:rsidP="008C07CF"/>
    <w:p w14:paraId="19C461EE" w14:textId="77777777" w:rsidR="00674EAD" w:rsidRDefault="004830F2" w:rsidP="008C07CF">
      <w:r>
        <w:t>SUMMARY</w:t>
      </w:r>
    </w:p>
    <w:p w14:paraId="1DEDB730" w14:textId="77777777" w:rsidR="001B633D" w:rsidRDefault="00193CE0" w:rsidP="008C07CF">
      <w:r>
        <w:t xml:space="preserve">Data revealed that there was no strategy or framework for partnerships with the youth sector. </w:t>
      </w:r>
      <w:r w:rsidR="0038455C">
        <w:t xml:space="preserve">This could be attributed to the infancy of the </w:t>
      </w:r>
      <w:r w:rsidR="00E24F21">
        <w:t>NYDA. Reports about the role play</w:t>
      </w:r>
      <w:r w:rsidR="0038455C">
        <w:t xml:space="preserve">ed by its predecessor, </w:t>
      </w:r>
      <w:proofErr w:type="spellStart"/>
      <w:r w:rsidR="0038455C">
        <w:t>Umsobomvu</w:t>
      </w:r>
      <w:proofErr w:type="spellEnd"/>
      <w:r w:rsidR="00E24F21">
        <w:t xml:space="preserve"> Youth Fund </w:t>
      </w:r>
      <w:r w:rsidR="003E458A">
        <w:t xml:space="preserve">(UYF) </w:t>
      </w:r>
      <w:r w:rsidR="00E24F21">
        <w:t xml:space="preserve">could not be secured.  </w:t>
      </w:r>
      <w:r w:rsidR="0038455C">
        <w:t xml:space="preserve">The </w:t>
      </w:r>
      <w:proofErr w:type="spellStart"/>
      <w:r w:rsidR="0038455C">
        <w:t>AgriSeta</w:t>
      </w:r>
      <w:proofErr w:type="spellEnd"/>
      <w:r w:rsidR="0038455C">
        <w:t xml:space="preserve"> initiative may be considered a useful example to assume that there may have been more of those, including those that involved </w:t>
      </w:r>
      <w:r w:rsidR="004A08B1">
        <w:t xml:space="preserve">training for </w:t>
      </w:r>
      <w:r w:rsidR="00013586">
        <w:t>multitude</w:t>
      </w:r>
      <w:r w:rsidR="004A08B1">
        <w:t xml:space="preserve"> of functional SMMEs</w:t>
      </w:r>
      <w:r w:rsidR="0038455C">
        <w:t>, CBOs, NPOs and new Ventures</w:t>
      </w:r>
      <w:r>
        <w:t xml:space="preserve">. </w:t>
      </w:r>
    </w:p>
    <w:p w14:paraId="43996A1B" w14:textId="77777777" w:rsidR="00D00D75" w:rsidRDefault="00D00D75" w:rsidP="008C07CF">
      <w:pPr>
        <w:pStyle w:val="Heading2"/>
      </w:pPr>
      <w:bookmarkStart w:id="27" w:name="_Toc488525873"/>
      <w:r w:rsidRPr="00FA141B">
        <w:t>Goal 5: Encouraging better use of workplace-based skills development</w:t>
      </w:r>
      <w:bookmarkEnd w:id="27"/>
    </w:p>
    <w:p w14:paraId="6F885417" w14:textId="77777777" w:rsidR="001B633D" w:rsidRPr="001B633D" w:rsidRDefault="001B633D" w:rsidP="008C07CF"/>
    <w:p w14:paraId="5C0EDEBB" w14:textId="77777777" w:rsidR="00D15582" w:rsidRPr="00FA141B" w:rsidRDefault="00D15582" w:rsidP="008C07CF">
      <w:r w:rsidRPr="00FA141B">
        <w:t>Outcome 4.5.1</w:t>
      </w:r>
      <w:r w:rsidR="009E1D4D" w:rsidRPr="00FA141B">
        <w:rPr>
          <w:lang w:val="en-ZA" w:eastAsia="en-ZA"/>
        </w:rPr>
        <w:t xml:space="preserve">: </w:t>
      </w:r>
      <w:r w:rsidR="00D0191F" w:rsidRPr="00FA141B">
        <w:rPr>
          <w:lang w:val="en-ZA" w:eastAsia="en-ZA"/>
        </w:rPr>
        <w:t>Training of employed workers addresses critical skills, enabling improved productivity, economic gro</w:t>
      </w:r>
      <w:r w:rsidR="00D62821" w:rsidRPr="00FA141B">
        <w:rPr>
          <w:lang w:val="en-ZA" w:eastAsia="en-ZA"/>
        </w:rPr>
        <w:t>wth and the ability of the work</w:t>
      </w:r>
      <w:r w:rsidR="00D0191F" w:rsidRPr="00FA141B">
        <w:rPr>
          <w:lang w:val="en-ZA" w:eastAsia="en-ZA"/>
        </w:rPr>
        <w:t>force to adapt to change in the labour market</w:t>
      </w:r>
      <w:r w:rsidR="00D0191F" w:rsidRPr="00FA141B">
        <w:t xml:space="preserve">. </w:t>
      </w:r>
    </w:p>
    <w:p w14:paraId="418386D2" w14:textId="77777777" w:rsidR="00157399" w:rsidRPr="00C3298D" w:rsidRDefault="007246FB" w:rsidP="008C07CF">
      <w:r w:rsidRPr="00090998">
        <w:t xml:space="preserve">Critical skills </w:t>
      </w:r>
      <w:r w:rsidR="0023277A" w:rsidRPr="00090998">
        <w:t xml:space="preserve">refer to specific skills within an occupation, </w:t>
      </w:r>
      <w:r w:rsidR="00FA141B">
        <w:t>that are missing in the current work force or which have become necessary due to production and business changes which require change within the skills sets that workers have. They also i</w:t>
      </w:r>
      <w:r w:rsidR="0023277A" w:rsidRPr="00090998">
        <w:t>nclude generic skills such as problem solving, communications, report writing, etc. They enhance human relations, responsibility, accountability and contribute towards increased production</w:t>
      </w:r>
      <w:r w:rsidR="001B633D">
        <w:t xml:space="preserve"> and productivity</w:t>
      </w:r>
      <w:r w:rsidR="0023277A" w:rsidRPr="00090998">
        <w:t>.</w:t>
      </w:r>
      <w:r w:rsidR="00FA141B">
        <w:t xml:space="preserve"> Whereas “scarce </w:t>
      </w:r>
      <w:r w:rsidR="00FA141B">
        <w:lastRenderedPageBreak/>
        <w:t xml:space="preserve">skills” generally refer to the skills needed by new entrants to the </w:t>
      </w:r>
      <w:proofErr w:type="spellStart"/>
      <w:r w:rsidR="00FA141B">
        <w:t>labour</w:t>
      </w:r>
      <w:proofErr w:type="spellEnd"/>
      <w:r w:rsidR="00FA141B">
        <w:t xml:space="preserve"> market, “critical skills” tends to focus more on existing workers and the ongoin</w:t>
      </w:r>
      <w:r w:rsidR="00E5273E">
        <w:t>g development of those workers.</w:t>
      </w:r>
    </w:p>
    <w:tbl>
      <w:tblPr>
        <w:tblStyle w:val="TableGrid"/>
        <w:tblpPr w:leftFromText="180" w:rightFromText="180" w:vertAnchor="text" w:horzAnchor="margin" w:tblpX="108" w:tblpY="412"/>
        <w:tblW w:w="9464" w:type="dxa"/>
        <w:tblLook w:val="04A0" w:firstRow="1" w:lastRow="0" w:firstColumn="1" w:lastColumn="0" w:noHBand="0" w:noVBand="1"/>
      </w:tblPr>
      <w:tblGrid>
        <w:gridCol w:w="9464"/>
      </w:tblGrid>
      <w:tr w:rsidR="002F7E6D" w:rsidRPr="00F47C02" w14:paraId="146F8DCF" w14:textId="77777777" w:rsidTr="001217FD">
        <w:trPr>
          <w:trHeight w:val="614"/>
        </w:trPr>
        <w:tc>
          <w:tcPr>
            <w:tcW w:w="9464" w:type="dxa"/>
            <w:shd w:val="clear" w:color="auto" w:fill="943634" w:themeFill="accent2" w:themeFillShade="BF"/>
          </w:tcPr>
          <w:p w14:paraId="6DD80CCA" w14:textId="77777777" w:rsidR="002F7E6D" w:rsidRPr="00FA141B" w:rsidRDefault="002F7E6D" w:rsidP="008C07CF">
            <w:r w:rsidRPr="00FA141B">
              <w:rPr>
                <w:bCs/>
                <w:lang w:val="en-ZA" w:eastAsia="en-ZA"/>
              </w:rPr>
              <w:t>Output 4.5.1.1:</w:t>
            </w:r>
            <w:r w:rsidRPr="00FA141B">
              <w:rPr>
                <w:bCs/>
                <w:lang w:val="en-ZA" w:eastAsia="en-ZA"/>
              </w:rPr>
              <w:tab/>
            </w:r>
            <w:r w:rsidRPr="00FA141B">
              <w:rPr>
                <w:lang w:val="en-ZA" w:eastAsia="en-ZA"/>
              </w:rPr>
              <w:t>SETA stakeholders agree on the provision of substantial quality programmes for employed workers and report on the impact of the training.</w:t>
            </w:r>
          </w:p>
        </w:tc>
      </w:tr>
      <w:tr w:rsidR="002F7E6D" w:rsidRPr="00F47C02" w14:paraId="1015D663" w14:textId="77777777" w:rsidTr="001217FD">
        <w:trPr>
          <w:trHeight w:val="419"/>
        </w:trPr>
        <w:tc>
          <w:tcPr>
            <w:tcW w:w="9464" w:type="dxa"/>
            <w:shd w:val="clear" w:color="auto" w:fill="BFBFBF" w:themeFill="background1" w:themeFillShade="BF"/>
          </w:tcPr>
          <w:p w14:paraId="169FEB62" w14:textId="77777777" w:rsidR="002F7E6D" w:rsidRPr="00FA141B" w:rsidRDefault="00786E0B" w:rsidP="008C07CF">
            <w:pPr>
              <w:rPr>
                <w:lang w:val="en-ZA"/>
              </w:rPr>
            </w:pPr>
            <w:r>
              <w:rPr>
                <w:lang w:val="en-ZA"/>
              </w:rPr>
              <w:t>H</w:t>
            </w:r>
            <w:r w:rsidR="002F7E6D" w:rsidRPr="00FA141B">
              <w:rPr>
                <w:lang w:val="en-ZA"/>
              </w:rPr>
              <w:t>ow many employed workers were engaged in training?</w:t>
            </w:r>
          </w:p>
        </w:tc>
      </w:tr>
      <w:tr w:rsidR="002F7E6D" w:rsidRPr="00F47C02" w14:paraId="74A8CAF2" w14:textId="77777777" w:rsidTr="001217FD">
        <w:trPr>
          <w:trHeight w:val="3371"/>
        </w:trPr>
        <w:tc>
          <w:tcPr>
            <w:tcW w:w="9464" w:type="dxa"/>
            <w:shd w:val="clear" w:color="auto" w:fill="auto"/>
          </w:tcPr>
          <w:p w14:paraId="30CE47E4" w14:textId="211F1B8D" w:rsidR="001217FD" w:rsidRPr="00AB7E62" w:rsidRDefault="002F7E6D" w:rsidP="008C07CF">
            <w:r w:rsidRPr="00AB7E62">
              <w:rPr>
                <w:lang w:val="en-ZA"/>
              </w:rPr>
              <w:t xml:space="preserve">While most SETAs reported on training in critical skills, data consolidation proved impossible due to </w:t>
            </w:r>
            <w:r w:rsidR="006138A6" w:rsidRPr="0011523E">
              <w:rPr>
                <w:lang w:val="en-ZA"/>
              </w:rPr>
              <w:t>different reporting across the SETAs</w:t>
            </w:r>
            <w:r w:rsidR="0087020A" w:rsidRPr="0011523E">
              <w:rPr>
                <w:lang w:val="en-ZA"/>
              </w:rPr>
              <w:t xml:space="preserve">. </w:t>
            </w:r>
            <w:r w:rsidRPr="0011523E">
              <w:rPr>
                <w:lang w:val="en-ZA"/>
              </w:rPr>
              <w:t xml:space="preserve">In some cases, </w:t>
            </w:r>
            <w:r w:rsidR="00BF1E0F" w:rsidRPr="0011523E">
              <w:rPr>
                <w:lang w:val="en-ZA"/>
              </w:rPr>
              <w:t xml:space="preserve">reporting was generalised without separating </w:t>
            </w:r>
            <w:r w:rsidR="006138A6" w:rsidRPr="004B7345">
              <w:rPr>
                <w:lang w:val="en-ZA"/>
              </w:rPr>
              <w:t xml:space="preserve">‘critical’ </w:t>
            </w:r>
            <w:r w:rsidR="00BF1E0F" w:rsidRPr="004B7345">
              <w:rPr>
                <w:lang w:val="en-ZA"/>
              </w:rPr>
              <w:t>from ‘</w:t>
            </w:r>
            <w:r w:rsidR="00E5273E" w:rsidRPr="004B7345">
              <w:rPr>
                <w:lang w:val="en-ZA"/>
              </w:rPr>
              <w:t xml:space="preserve">scarce’ </w:t>
            </w:r>
            <w:r w:rsidR="006138A6" w:rsidRPr="004B7345">
              <w:rPr>
                <w:lang w:val="en-ZA"/>
              </w:rPr>
              <w:t>skills</w:t>
            </w:r>
            <w:r w:rsidR="00E5273E" w:rsidRPr="004B7345">
              <w:rPr>
                <w:lang w:val="en-ZA"/>
              </w:rPr>
              <w:t>. They</w:t>
            </w:r>
            <w:r w:rsidR="006138A6" w:rsidRPr="004B7345">
              <w:rPr>
                <w:lang w:val="en-ZA"/>
              </w:rPr>
              <w:t xml:space="preserve"> </w:t>
            </w:r>
            <w:r w:rsidRPr="004B7345">
              <w:rPr>
                <w:lang w:val="en-ZA"/>
              </w:rPr>
              <w:t xml:space="preserve">were reported together with ‘core’ skills programmes. </w:t>
            </w:r>
            <w:r w:rsidR="0046713A" w:rsidRPr="004B7345">
              <w:t xml:space="preserve"> The total number of workers registered </w:t>
            </w:r>
            <w:r w:rsidR="004B7345">
              <w:t xml:space="preserve">through SETAs including; </w:t>
            </w:r>
            <w:proofErr w:type="spellStart"/>
            <w:r w:rsidR="000F460A" w:rsidRPr="004460DE">
              <w:rPr>
                <w:i/>
              </w:rPr>
              <w:t>Learnerships</w:t>
            </w:r>
            <w:proofErr w:type="spellEnd"/>
            <w:r w:rsidR="000F460A" w:rsidRPr="004460DE">
              <w:rPr>
                <w:i/>
              </w:rPr>
              <w:t xml:space="preserve">, Bursaries, Internships </w:t>
            </w:r>
            <w:r w:rsidR="000F460A" w:rsidRPr="00AB7E62">
              <w:t>and</w:t>
            </w:r>
            <w:r w:rsidR="000F460A" w:rsidRPr="004460DE">
              <w:rPr>
                <w:i/>
              </w:rPr>
              <w:t xml:space="preserve"> Skills </w:t>
            </w:r>
            <w:proofErr w:type="spellStart"/>
            <w:r w:rsidR="000F460A" w:rsidRPr="004460DE">
              <w:rPr>
                <w:i/>
              </w:rPr>
              <w:t>P</w:t>
            </w:r>
            <w:r w:rsidR="004B7345" w:rsidRPr="004460DE">
              <w:rPr>
                <w:i/>
              </w:rPr>
              <w:t>rogrammes</w:t>
            </w:r>
            <w:proofErr w:type="spellEnd"/>
            <w:r w:rsidR="0046713A" w:rsidRPr="00AB7E62">
              <w:t xml:space="preserve"> was 80</w:t>
            </w:r>
            <w:r w:rsidR="004B7345">
              <w:t> </w:t>
            </w:r>
            <w:r w:rsidR="0046713A" w:rsidRPr="00AB7E62">
              <w:t>514</w:t>
            </w:r>
            <w:r w:rsidR="004B7345">
              <w:t>. Th</w:t>
            </w:r>
            <w:r w:rsidR="000F460A">
              <w:t xml:space="preserve">ey had exceeded their collective target of </w:t>
            </w:r>
            <w:r w:rsidR="0046713A" w:rsidRPr="00AB7E62">
              <w:t xml:space="preserve">52 174 by 28 340. Skills </w:t>
            </w:r>
            <w:proofErr w:type="spellStart"/>
            <w:r w:rsidR="000F460A">
              <w:t>P</w:t>
            </w:r>
            <w:r w:rsidR="0046713A" w:rsidRPr="00AB7E62">
              <w:t>rogrammes</w:t>
            </w:r>
            <w:proofErr w:type="spellEnd"/>
            <w:r w:rsidR="0046713A" w:rsidRPr="00AB7E62">
              <w:t xml:space="preserve"> had the highest enrolment with 53 839 and</w:t>
            </w:r>
            <w:r w:rsidR="004B7345" w:rsidRPr="00AB7E62">
              <w:t xml:space="preserve"> certificated</w:t>
            </w:r>
            <w:r w:rsidR="004B7345" w:rsidRPr="004460DE">
              <w:t xml:space="preserve"> 67 654 workers, representing </w:t>
            </w:r>
            <w:r w:rsidR="009D4DD8">
              <w:t xml:space="preserve">over </w:t>
            </w:r>
            <w:r w:rsidR="004B7345" w:rsidRPr="004460DE">
              <w:t>90% of all workers</w:t>
            </w:r>
            <w:r w:rsidR="009D4DD8">
              <w:t xml:space="preserve"> trained</w:t>
            </w:r>
            <w:r w:rsidR="0046713A" w:rsidRPr="00AB7E62">
              <w:t xml:space="preserve">. </w:t>
            </w:r>
            <w:r w:rsidR="000F460A">
              <w:t xml:space="preserve">Furthermore, </w:t>
            </w:r>
            <w:r w:rsidRPr="00AB7E62">
              <w:rPr>
                <w:lang w:val="en-ZA"/>
              </w:rPr>
              <w:t>Stats on PSET</w:t>
            </w:r>
            <w:r w:rsidR="00315CF0" w:rsidRPr="00AB7E62">
              <w:rPr>
                <w:lang w:val="en-ZA"/>
              </w:rPr>
              <w:t xml:space="preserve"> </w:t>
            </w:r>
            <w:r w:rsidR="0046713A" w:rsidRPr="00AB7E62">
              <w:rPr>
                <w:lang w:val="en-ZA"/>
              </w:rPr>
              <w:t xml:space="preserve">(2013) </w:t>
            </w:r>
            <w:r w:rsidR="00AB7E62">
              <w:rPr>
                <w:lang w:val="en-ZA"/>
              </w:rPr>
              <w:t xml:space="preserve">further </w:t>
            </w:r>
            <w:r w:rsidR="0046713A" w:rsidRPr="00AB7E62">
              <w:rPr>
                <w:lang w:val="en-ZA"/>
              </w:rPr>
              <w:t xml:space="preserve">reported that </w:t>
            </w:r>
            <w:r w:rsidRPr="00AB7E62">
              <w:t>NSF</w:t>
            </w:r>
            <w:r w:rsidR="0046713A" w:rsidRPr="00AB7E62">
              <w:t xml:space="preserve"> had funded </w:t>
            </w:r>
            <w:r w:rsidRPr="00AB7E62">
              <w:t>215 skills development project</w:t>
            </w:r>
            <w:r w:rsidR="00315CF0" w:rsidRPr="00AB7E62">
              <w:t>s</w:t>
            </w:r>
            <w:r w:rsidR="00AB7E62">
              <w:t xml:space="preserve">, and </w:t>
            </w:r>
            <w:r w:rsidR="001D2AE9">
              <w:t xml:space="preserve">that </w:t>
            </w:r>
            <w:r w:rsidR="00D66623">
              <w:t>most</w:t>
            </w:r>
            <w:r w:rsidR="00AB7E62">
              <w:t xml:space="preserve"> </w:t>
            </w:r>
            <w:r w:rsidR="00D66623">
              <w:t xml:space="preserve">of </w:t>
            </w:r>
            <w:r w:rsidR="00AB7E62">
              <w:t xml:space="preserve">the projects supported the Expanded Public Works </w:t>
            </w:r>
            <w:proofErr w:type="spellStart"/>
            <w:r w:rsidR="00AB7E62">
              <w:t>Programme</w:t>
            </w:r>
            <w:proofErr w:type="spellEnd"/>
            <w:r w:rsidR="00AB7E62">
              <w:t xml:space="preserve"> (EPWP)</w:t>
            </w:r>
            <w:r w:rsidR="0046713A" w:rsidRPr="00AB7E62">
              <w:t xml:space="preserve">. </w:t>
            </w:r>
            <w:r w:rsidR="00467ABA">
              <w:t>The total number of beneficiaries from the NSF</w:t>
            </w:r>
            <w:r w:rsidR="001D2AE9">
              <w:t>-</w:t>
            </w:r>
            <w:r w:rsidR="00467ABA">
              <w:t xml:space="preserve">funded project was 106 408, and the majority were involved in </w:t>
            </w:r>
            <w:r w:rsidR="001D2AE9">
              <w:t>Adult Education and Training (</w:t>
            </w:r>
            <w:r w:rsidR="00467ABA">
              <w:t>AET</w:t>
            </w:r>
            <w:r w:rsidR="001D2AE9">
              <w:t>)</w:t>
            </w:r>
            <w:r w:rsidR="00467ABA">
              <w:t xml:space="preserve"> </w:t>
            </w:r>
            <w:proofErr w:type="spellStart"/>
            <w:r w:rsidR="00467ABA">
              <w:t>programmes</w:t>
            </w:r>
            <w:proofErr w:type="spellEnd"/>
            <w:r w:rsidR="00467ABA">
              <w:t xml:space="preserve">. </w:t>
            </w:r>
          </w:p>
        </w:tc>
      </w:tr>
      <w:tr w:rsidR="002F7E6D" w:rsidRPr="00F47C02" w14:paraId="33F1CA1A" w14:textId="77777777" w:rsidTr="001217FD">
        <w:trPr>
          <w:trHeight w:val="419"/>
        </w:trPr>
        <w:tc>
          <w:tcPr>
            <w:tcW w:w="9464" w:type="dxa"/>
            <w:shd w:val="clear" w:color="auto" w:fill="BFBFBF" w:themeFill="background1" w:themeFillShade="BF"/>
          </w:tcPr>
          <w:p w14:paraId="0A7E8CF2" w14:textId="77777777" w:rsidR="002F7E6D" w:rsidRPr="00FA141B" w:rsidRDefault="002F7E6D" w:rsidP="008C07CF">
            <w:pPr>
              <w:rPr>
                <w:lang w:val="en-ZA"/>
              </w:rPr>
            </w:pPr>
            <w:r w:rsidRPr="00FA141B">
              <w:t>How many employers of different sizes were reporting on workplace training?</w:t>
            </w:r>
            <w:r w:rsidR="001217FD">
              <w:tab/>
            </w:r>
          </w:p>
        </w:tc>
      </w:tr>
      <w:tr w:rsidR="00A200D0" w:rsidRPr="00F47C02" w14:paraId="38F87B42" w14:textId="77777777" w:rsidTr="00A200D0">
        <w:trPr>
          <w:trHeight w:val="419"/>
        </w:trPr>
        <w:tc>
          <w:tcPr>
            <w:tcW w:w="9464" w:type="dxa"/>
            <w:shd w:val="clear" w:color="auto" w:fill="auto"/>
          </w:tcPr>
          <w:p w14:paraId="5DE30509" w14:textId="4170C677" w:rsidR="00A200D0" w:rsidRDefault="00A200D0" w:rsidP="008C07CF">
            <w:r w:rsidRPr="00FA141B">
              <w:t xml:space="preserve">SETAs reported in their 2010/11 Annual Reports </w:t>
            </w:r>
            <w:r w:rsidR="000224F5">
              <w:t>the</w:t>
            </w:r>
            <w:r w:rsidR="001B633D">
              <w:t>ir</w:t>
            </w:r>
            <w:r w:rsidR="000224F5">
              <w:t xml:space="preserve"> registered, </w:t>
            </w:r>
            <w:r w:rsidRPr="00FA141B">
              <w:t xml:space="preserve">levy-paying employers and had received both the WPS and ATRs. </w:t>
            </w:r>
            <w:r w:rsidRPr="000537CC">
              <w:rPr>
                <w:b/>
              </w:rPr>
              <w:t xml:space="preserve">Table </w:t>
            </w:r>
            <w:r w:rsidR="00C56A20">
              <w:rPr>
                <w:b/>
              </w:rPr>
              <w:t>2</w:t>
            </w:r>
            <w:r>
              <w:t xml:space="preserve"> presents a summary of SETA targets and the actual achievements</w:t>
            </w:r>
          </w:p>
          <w:p w14:paraId="69450FF2" w14:textId="1E7A9FB2" w:rsidR="00A200D0" w:rsidRPr="00A200D0" w:rsidRDefault="00A200D0" w:rsidP="008C07CF">
            <w:r w:rsidRPr="000537CC">
              <w:t xml:space="preserve">Table </w:t>
            </w:r>
            <w:r w:rsidR="00C56A20">
              <w:t>2</w:t>
            </w:r>
            <w:r>
              <w:t>: Seta targets and performance achievements</w:t>
            </w:r>
          </w:p>
          <w:tbl>
            <w:tblPr>
              <w:tblStyle w:val="GridTable5Dark-Accent6"/>
              <w:tblW w:w="0" w:type="auto"/>
              <w:tblLook w:val="04A0" w:firstRow="1" w:lastRow="0" w:firstColumn="1" w:lastColumn="0" w:noHBand="0" w:noVBand="1"/>
            </w:tblPr>
            <w:tblGrid>
              <w:gridCol w:w="1090"/>
              <w:gridCol w:w="1663"/>
              <w:gridCol w:w="1977"/>
              <w:gridCol w:w="2536"/>
              <w:gridCol w:w="1972"/>
            </w:tblGrid>
            <w:tr w:rsidR="00A200D0" w14:paraId="7041C762" w14:textId="77777777" w:rsidTr="004F7623">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020" w:type="dxa"/>
                </w:tcPr>
                <w:p w14:paraId="1981A36A" w14:textId="77777777" w:rsidR="00A200D0" w:rsidRDefault="00A200D0" w:rsidP="007F5BCF">
                  <w:pPr>
                    <w:framePr w:hSpace="180" w:wrap="around" w:vAnchor="text" w:hAnchor="margin" w:x="108" w:y="412"/>
                  </w:pPr>
                </w:p>
              </w:tc>
              <w:tc>
                <w:tcPr>
                  <w:tcW w:w="1677" w:type="dxa"/>
                </w:tcPr>
                <w:p w14:paraId="1D66CD96" w14:textId="77777777" w:rsidR="00A200D0" w:rsidRDefault="00A200D0" w:rsidP="007F5BCF">
                  <w:pPr>
                    <w:framePr w:hSpace="180" w:wrap="around" w:vAnchor="text" w:hAnchor="margin" w:x="108" w:y="412"/>
                    <w:cnfStyle w:val="100000000000" w:firstRow="1" w:lastRow="0" w:firstColumn="0" w:lastColumn="0" w:oddVBand="0" w:evenVBand="0" w:oddHBand="0" w:evenHBand="0" w:firstRowFirstColumn="0" w:firstRowLastColumn="0" w:lastRowFirstColumn="0" w:lastRowLastColumn="0"/>
                  </w:pPr>
                  <w:r>
                    <w:t>Large Firms</w:t>
                  </w:r>
                </w:p>
              </w:tc>
              <w:tc>
                <w:tcPr>
                  <w:tcW w:w="1990" w:type="dxa"/>
                </w:tcPr>
                <w:p w14:paraId="0BE9B030" w14:textId="77777777" w:rsidR="00A200D0" w:rsidRDefault="00A200D0" w:rsidP="007F5BCF">
                  <w:pPr>
                    <w:framePr w:hSpace="180" w:wrap="around" w:vAnchor="text" w:hAnchor="margin" w:x="108" w:y="412"/>
                    <w:cnfStyle w:val="100000000000" w:firstRow="1" w:lastRow="0" w:firstColumn="0" w:lastColumn="0" w:oddVBand="0" w:evenVBand="0" w:oddHBand="0" w:evenHBand="0" w:firstRowFirstColumn="0" w:firstRowLastColumn="0" w:lastRowFirstColumn="0" w:lastRowLastColumn="0"/>
                  </w:pPr>
                  <w:r>
                    <w:t>Medium Firms</w:t>
                  </w:r>
                </w:p>
              </w:tc>
              <w:tc>
                <w:tcPr>
                  <w:tcW w:w="2560" w:type="dxa"/>
                </w:tcPr>
                <w:p w14:paraId="1F18D9DC" w14:textId="77777777" w:rsidR="00A200D0" w:rsidRDefault="00A200D0" w:rsidP="007F5BCF">
                  <w:pPr>
                    <w:framePr w:hSpace="180" w:wrap="around" w:vAnchor="text" w:hAnchor="margin" w:x="108" w:y="412"/>
                    <w:cnfStyle w:val="100000000000" w:firstRow="1" w:lastRow="0" w:firstColumn="0" w:lastColumn="0" w:oddVBand="0" w:evenVBand="0" w:oddHBand="0" w:evenHBand="0" w:firstRowFirstColumn="0" w:firstRowLastColumn="0" w:lastRowFirstColumn="0" w:lastRowLastColumn="0"/>
                  </w:pPr>
                  <w:r>
                    <w:t>Small Levy-Paying Firms</w:t>
                  </w:r>
                </w:p>
              </w:tc>
              <w:tc>
                <w:tcPr>
                  <w:tcW w:w="1990" w:type="dxa"/>
                </w:tcPr>
                <w:p w14:paraId="176A9E26" w14:textId="77777777" w:rsidR="00A200D0" w:rsidRDefault="00A200D0" w:rsidP="007F5BCF">
                  <w:pPr>
                    <w:framePr w:hSpace="180" w:wrap="around" w:vAnchor="text" w:hAnchor="margin" w:x="108" w:y="412"/>
                    <w:cnfStyle w:val="100000000000" w:firstRow="1" w:lastRow="0" w:firstColumn="0" w:lastColumn="0" w:oddVBand="0" w:evenVBand="0" w:oddHBand="0" w:evenHBand="0" w:firstRowFirstColumn="0" w:firstRowLastColumn="0" w:lastRowFirstColumn="0" w:lastRowLastColumn="0"/>
                  </w:pPr>
                  <w:r>
                    <w:t xml:space="preserve">Total </w:t>
                  </w:r>
                </w:p>
              </w:tc>
            </w:tr>
            <w:tr w:rsidR="00A200D0" w14:paraId="20DD08FC" w14:textId="77777777" w:rsidTr="004F762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020" w:type="dxa"/>
                </w:tcPr>
                <w:p w14:paraId="268AE18E" w14:textId="77777777" w:rsidR="00A200D0" w:rsidRDefault="00A200D0" w:rsidP="007F5BCF">
                  <w:pPr>
                    <w:framePr w:hSpace="180" w:wrap="around" w:vAnchor="text" w:hAnchor="margin" w:x="108" w:y="412"/>
                  </w:pPr>
                  <w:r>
                    <w:t>Target</w:t>
                  </w:r>
                </w:p>
              </w:tc>
              <w:tc>
                <w:tcPr>
                  <w:tcW w:w="1677" w:type="dxa"/>
                </w:tcPr>
                <w:p w14:paraId="38FBCE3E" w14:textId="77777777" w:rsidR="00A200D0" w:rsidRDefault="00A200D0" w:rsidP="007F5BCF">
                  <w:pPr>
                    <w:framePr w:hSpace="180" w:wrap="around" w:vAnchor="text" w:hAnchor="margin" w:x="108" w:y="412"/>
                    <w:cnfStyle w:val="000000100000" w:firstRow="0" w:lastRow="0" w:firstColumn="0" w:lastColumn="0" w:oddVBand="0" w:evenVBand="0" w:oddHBand="1" w:evenHBand="0" w:firstRowFirstColumn="0" w:firstRowLastColumn="0" w:lastRowFirstColumn="0" w:lastRowLastColumn="0"/>
                  </w:pPr>
                  <w:r>
                    <w:t>3 458</w:t>
                  </w:r>
                </w:p>
              </w:tc>
              <w:tc>
                <w:tcPr>
                  <w:tcW w:w="1990" w:type="dxa"/>
                </w:tcPr>
                <w:p w14:paraId="2F23E935" w14:textId="77777777" w:rsidR="00A200D0" w:rsidRDefault="00A200D0" w:rsidP="007F5BCF">
                  <w:pPr>
                    <w:framePr w:hSpace="180" w:wrap="around" w:vAnchor="text" w:hAnchor="margin" w:x="108" w:y="412"/>
                    <w:cnfStyle w:val="000000100000" w:firstRow="0" w:lastRow="0" w:firstColumn="0" w:lastColumn="0" w:oddVBand="0" w:evenVBand="0" w:oddHBand="1" w:evenHBand="0" w:firstRowFirstColumn="0" w:firstRowLastColumn="0" w:lastRowFirstColumn="0" w:lastRowLastColumn="0"/>
                  </w:pPr>
                  <w:r>
                    <w:t>4 338</w:t>
                  </w:r>
                </w:p>
              </w:tc>
              <w:tc>
                <w:tcPr>
                  <w:tcW w:w="2560" w:type="dxa"/>
                </w:tcPr>
                <w:p w14:paraId="0FB65113" w14:textId="77777777" w:rsidR="00A200D0" w:rsidRDefault="00A200D0" w:rsidP="007F5BCF">
                  <w:pPr>
                    <w:framePr w:hSpace="180" w:wrap="around" w:vAnchor="text" w:hAnchor="margin" w:x="108" w:y="412"/>
                    <w:cnfStyle w:val="000000100000" w:firstRow="0" w:lastRow="0" w:firstColumn="0" w:lastColumn="0" w:oddVBand="0" w:evenVBand="0" w:oddHBand="1" w:evenHBand="0" w:firstRowFirstColumn="0" w:firstRowLastColumn="0" w:lastRowFirstColumn="0" w:lastRowLastColumn="0"/>
                  </w:pPr>
                  <w:r>
                    <w:t>23 170</w:t>
                  </w:r>
                </w:p>
              </w:tc>
              <w:tc>
                <w:tcPr>
                  <w:tcW w:w="1990" w:type="dxa"/>
                </w:tcPr>
                <w:p w14:paraId="60510FEE" w14:textId="77777777" w:rsidR="00A200D0" w:rsidRDefault="00A200D0" w:rsidP="007F5BCF">
                  <w:pPr>
                    <w:framePr w:hSpace="180" w:wrap="around" w:vAnchor="text" w:hAnchor="margin" w:x="108" w:y="412"/>
                    <w:cnfStyle w:val="000000100000" w:firstRow="0" w:lastRow="0" w:firstColumn="0" w:lastColumn="0" w:oddVBand="0" w:evenVBand="0" w:oddHBand="1" w:evenHBand="0" w:firstRowFirstColumn="0" w:firstRowLastColumn="0" w:lastRowFirstColumn="0" w:lastRowLastColumn="0"/>
                  </w:pPr>
                  <w:r>
                    <w:t>30 966</w:t>
                  </w:r>
                </w:p>
              </w:tc>
            </w:tr>
            <w:tr w:rsidR="00A200D0" w14:paraId="3877E338" w14:textId="77777777" w:rsidTr="004F7623">
              <w:trPr>
                <w:trHeight w:val="434"/>
              </w:trPr>
              <w:tc>
                <w:tcPr>
                  <w:cnfStyle w:val="001000000000" w:firstRow="0" w:lastRow="0" w:firstColumn="1" w:lastColumn="0" w:oddVBand="0" w:evenVBand="0" w:oddHBand="0" w:evenHBand="0" w:firstRowFirstColumn="0" w:firstRowLastColumn="0" w:lastRowFirstColumn="0" w:lastRowLastColumn="0"/>
                  <w:tcW w:w="1020" w:type="dxa"/>
                </w:tcPr>
                <w:p w14:paraId="5AAE781F" w14:textId="77777777" w:rsidR="00A200D0" w:rsidRDefault="00A200D0" w:rsidP="007F5BCF">
                  <w:pPr>
                    <w:framePr w:hSpace="180" w:wrap="around" w:vAnchor="text" w:hAnchor="margin" w:x="108" w:y="412"/>
                  </w:pPr>
                  <w:r>
                    <w:t>Actual</w:t>
                  </w:r>
                </w:p>
              </w:tc>
              <w:tc>
                <w:tcPr>
                  <w:tcW w:w="1677" w:type="dxa"/>
                </w:tcPr>
                <w:p w14:paraId="72432F86" w14:textId="77777777" w:rsidR="00A200D0" w:rsidRDefault="00A200D0" w:rsidP="007F5BCF">
                  <w:pPr>
                    <w:framePr w:hSpace="180" w:wrap="around" w:vAnchor="text" w:hAnchor="margin" w:x="108" w:y="412"/>
                    <w:cnfStyle w:val="000000000000" w:firstRow="0" w:lastRow="0" w:firstColumn="0" w:lastColumn="0" w:oddVBand="0" w:evenVBand="0" w:oddHBand="0" w:evenHBand="0" w:firstRowFirstColumn="0" w:firstRowLastColumn="0" w:lastRowFirstColumn="0" w:lastRowLastColumn="0"/>
                  </w:pPr>
                  <w:r>
                    <w:t>4 176</w:t>
                  </w:r>
                </w:p>
              </w:tc>
              <w:tc>
                <w:tcPr>
                  <w:tcW w:w="1990" w:type="dxa"/>
                </w:tcPr>
                <w:p w14:paraId="168327F6" w14:textId="77777777" w:rsidR="00A200D0" w:rsidRDefault="00A200D0" w:rsidP="007F5BCF">
                  <w:pPr>
                    <w:framePr w:hSpace="180" w:wrap="around" w:vAnchor="text" w:hAnchor="margin" w:x="108" w:y="412"/>
                    <w:cnfStyle w:val="000000000000" w:firstRow="0" w:lastRow="0" w:firstColumn="0" w:lastColumn="0" w:oddVBand="0" w:evenVBand="0" w:oddHBand="0" w:evenHBand="0" w:firstRowFirstColumn="0" w:firstRowLastColumn="0" w:lastRowFirstColumn="0" w:lastRowLastColumn="0"/>
                  </w:pPr>
                  <w:r>
                    <w:t>5 929</w:t>
                  </w:r>
                </w:p>
              </w:tc>
              <w:tc>
                <w:tcPr>
                  <w:tcW w:w="2560" w:type="dxa"/>
                </w:tcPr>
                <w:p w14:paraId="40A0BAA5" w14:textId="77777777" w:rsidR="00A200D0" w:rsidRDefault="00A200D0" w:rsidP="007F5BCF">
                  <w:pPr>
                    <w:framePr w:hSpace="180" w:wrap="around" w:vAnchor="text" w:hAnchor="margin" w:x="108" w:y="412"/>
                    <w:cnfStyle w:val="000000000000" w:firstRow="0" w:lastRow="0" w:firstColumn="0" w:lastColumn="0" w:oddVBand="0" w:evenVBand="0" w:oddHBand="0" w:evenHBand="0" w:firstRowFirstColumn="0" w:firstRowLastColumn="0" w:lastRowFirstColumn="0" w:lastRowLastColumn="0"/>
                  </w:pPr>
                  <w:r>
                    <w:t>27 962</w:t>
                  </w:r>
                </w:p>
              </w:tc>
              <w:tc>
                <w:tcPr>
                  <w:tcW w:w="1990" w:type="dxa"/>
                </w:tcPr>
                <w:p w14:paraId="71252135" w14:textId="77777777" w:rsidR="00A200D0" w:rsidRDefault="00A200D0" w:rsidP="007F5BCF">
                  <w:pPr>
                    <w:framePr w:hSpace="180" w:wrap="around" w:vAnchor="text" w:hAnchor="margin" w:x="108" w:y="412"/>
                    <w:cnfStyle w:val="000000000000" w:firstRow="0" w:lastRow="0" w:firstColumn="0" w:lastColumn="0" w:oddVBand="0" w:evenVBand="0" w:oddHBand="0" w:evenHBand="0" w:firstRowFirstColumn="0" w:firstRowLastColumn="0" w:lastRowFirstColumn="0" w:lastRowLastColumn="0"/>
                  </w:pPr>
                  <w:r>
                    <w:t>38 067</w:t>
                  </w:r>
                </w:p>
              </w:tc>
            </w:tr>
            <w:tr w:rsidR="00A200D0" w14:paraId="6A4F0D68" w14:textId="77777777" w:rsidTr="004F762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020" w:type="dxa"/>
                </w:tcPr>
                <w:p w14:paraId="6A54A3A6" w14:textId="77777777" w:rsidR="00A200D0" w:rsidRDefault="00A200D0" w:rsidP="007F5BCF">
                  <w:pPr>
                    <w:framePr w:hSpace="180" w:wrap="around" w:vAnchor="text" w:hAnchor="margin" w:x="108" w:y="412"/>
                  </w:pPr>
                  <w:r>
                    <w:t>Variance</w:t>
                  </w:r>
                </w:p>
              </w:tc>
              <w:tc>
                <w:tcPr>
                  <w:tcW w:w="1677" w:type="dxa"/>
                </w:tcPr>
                <w:p w14:paraId="4C16FC02" w14:textId="77777777" w:rsidR="00A200D0" w:rsidRDefault="00A200D0" w:rsidP="007F5BCF">
                  <w:pPr>
                    <w:framePr w:hSpace="180" w:wrap="around" w:vAnchor="text" w:hAnchor="margin" w:x="108" w:y="412"/>
                    <w:cnfStyle w:val="000000100000" w:firstRow="0" w:lastRow="0" w:firstColumn="0" w:lastColumn="0" w:oddVBand="0" w:evenVBand="0" w:oddHBand="1" w:evenHBand="0" w:firstRowFirstColumn="0" w:firstRowLastColumn="0" w:lastRowFirstColumn="0" w:lastRowLastColumn="0"/>
                  </w:pPr>
                  <w:r>
                    <w:t>718</w:t>
                  </w:r>
                </w:p>
              </w:tc>
              <w:tc>
                <w:tcPr>
                  <w:tcW w:w="1990" w:type="dxa"/>
                </w:tcPr>
                <w:p w14:paraId="28CEB75D" w14:textId="77777777" w:rsidR="00A200D0" w:rsidRDefault="00A200D0" w:rsidP="007F5BCF">
                  <w:pPr>
                    <w:framePr w:hSpace="180" w:wrap="around" w:vAnchor="text" w:hAnchor="margin" w:x="108" w:y="412"/>
                    <w:cnfStyle w:val="000000100000" w:firstRow="0" w:lastRow="0" w:firstColumn="0" w:lastColumn="0" w:oddVBand="0" w:evenVBand="0" w:oddHBand="1" w:evenHBand="0" w:firstRowFirstColumn="0" w:firstRowLastColumn="0" w:lastRowFirstColumn="0" w:lastRowLastColumn="0"/>
                  </w:pPr>
                  <w:r>
                    <w:t>1 591</w:t>
                  </w:r>
                </w:p>
              </w:tc>
              <w:tc>
                <w:tcPr>
                  <w:tcW w:w="2560" w:type="dxa"/>
                </w:tcPr>
                <w:p w14:paraId="1D5D2E13" w14:textId="77777777" w:rsidR="00A200D0" w:rsidRDefault="00A200D0" w:rsidP="007F5BCF">
                  <w:pPr>
                    <w:framePr w:hSpace="180" w:wrap="around" w:vAnchor="text" w:hAnchor="margin" w:x="108" w:y="412"/>
                    <w:cnfStyle w:val="000000100000" w:firstRow="0" w:lastRow="0" w:firstColumn="0" w:lastColumn="0" w:oddVBand="0" w:evenVBand="0" w:oddHBand="1" w:evenHBand="0" w:firstRowFirstColumn="0" w:firstRowLastColumn="0" w:lastRowFirstColumn="0" w:lastRowLastColumn="0"/>
                  </w:pPr>
                  <w:r>
                    <w:t>4 792</w:t>
                  </w:r>
                </w:p>
              </w:tc>
              <w:tc>
                <w:tcPr>
                  <w:tcW w:w="1990" w:type="dxa"/>
                </w:tcPr>
                <w:p w14:paraId="1ABD46BA" w14:textId="77777777" w:rsidR="00A200D0" w:rsidRDefault="00A200D0" w:rsidP="007F5BCF">
                  <w:pPr>
                    <w:framePr w:hSpace="180" w:wrap="around" w:vAnchor="text" w:hAnchor="margin" w:x="108" w:y="412"/>
                    <w:cnfStyle w:val="000000100000" w:firstRow="0" w:lastRow="0" w:firstColumn="0" w:lastColumn="0" w:oddVBand="0" w:evenVBand="0" w:oddHBand="1" w:evenHBand="0" w:firstRowFirstColumn="0" w:firstRowLastColumn="0" w:lastRowFirstColumn="0" w:lastRowLastColumn="0"/>
                  </w:pPr>
                  <w:r>
                    <w:t>7 101</w:t>
                  </w:r>
                </w:p>
              </w:tc>
            </w:tr>
          </w:tbl>
          <w:p w14:paraId="75C245B1" w14:textId="77777777" w:rsidR="00A200D0" w:rsidRPr="00FA141B" w:rsidRDefault="00A200D0" w:rsidP="008C07CF"/>
        </w:tc>
      </w:tr>
    </w:tbl>
    <w:p w14:paraId="2F9D5271" w14:textId="77777777" w:rsidR="00A200D0" w:rsidRPr="00A200D0" w:rsidRDefault="00A200D0" w:rsidP="008C07CF">
      <w:r w:rsidRPr="00A200D0">
        <w:t>2010/11 Data supplied by DHET, Author’s recalculation</w:t>
      </w:r>
    </w:p>
    <w:p w14:paraId="41708D1F" w14:textId="77777777" w:rsidR="00AF3194" w:rsidRDefault="00AF3194" w:rsidP="008C07CF"/>
    <w:p w14:paraId="15E2B076" w14:textId="77777777" w:rsidR="00A200D0" w:rsidRDefault="008D55A7" w:rsidP="008C07CF">
      <w:r>
        <w:t>N</w:t>
      </w:r>
      <w:r w:rsidR="00AF3194">
        <w:t xml:space="preserve">ot all levy paying </w:t>
      </w:r>
      <w:r w:rsidR="00A200D0" w:rsidRPr="00A200D0">
        <w:t>employers were submitting their WSP</w:t>
      </w:r>
      <w:r>
        <w:t>s</w:t>
      </w:r>
      <w:r w:rsidR="00A200D0" w:rsidRPr="00A200D0">
        <w:t xml:space="preserve"> and ATR</w:t>
      </w:r>
      <w:r>
        <w:t>s in 2010/</w:t>
      </w:r>
      <w:r w:rsidR="008C07CF">
        <w:t>11.</w:t>
      </w:r>
      <w:r w:rsidR="00A200D0" w:rsidRPr="00A200D0">
        <w:t xml:space="preserve"> As a mitigating </w:t>
      </w:r>
      <w:r w:rsidR="001B633D">
        <w:t>intervention many</w:t>
      </w:r>
      <w:r w:rsidR="00A200D0" w:rsidRPr="00A200D0">
        <w:t xml:space="preserve"> SETA</w:t>
      </w:r>
      <w:r w:rsidR="000B6E53">
        <w:t>s</w:t>
      </w:r>
      <w:r w:rsidR="00A200D0" w:rsidRPr="00A200D0">
        <w:t xml:space="preserve"> embarked </w:t>
      </w:r>
      <w:r w:rsidR="000B6E53">
        <w:t xml:space="preserve">annually </w:t>
      </w:r>
      <w:r w:rsidR="00A200D0" w:rsidRPr="00A200D0">
        <w:t>on an awareness campaign</w:t>
      </w:r>
      <w:r w:rsidR="001B633D">
        <w:t>, including provincial roadshows,</w:t>
      </w:r>
      <w:r w:rsidR="00A200D0" w:rsidRPr="00A200D0">
        <w:t xml:space="preserve"> to </w:t>
      </w:r>
      <w:proofErr w:type="spellStart"/>
      <w:r w:rsidR="00A200D0" w:rsidRPr="00A200D0">
        <w:t>conscie</w:t>
      </w:r>
      <w:r w:rsidR="001B633D">
        <w:t>n</w:t>
      </w:r>
      <w:r w:rsidR="00A200D0" w:rsidRPr="00A200D0">
        <w:t>tise</w:t>
      </w:r>
      <w:proofErr w:type="spellEnd"/>
      <w:r w:rsidR="00A200D0" w:rsidRPr="00A200D0">
        <w:t xml:space="preserve"> employers of such a need and its importance.</w:t>
      </w:r>
      <w:r w:rsidR="00A200D0" w:rsidRPr="00A200D0" w:rsidDel="004F15DB">
        <w:t xml:space="preserve"> </w:t>
      </w:r>
    </w:p>
    <w:p w14:paraId="34985C4F" w14:textId="77777777" w:rsidR="00377F8A" w:rsidRPr="00C3298D" w:rsidRDefault="00377F8A" w:rsidP="008C07CF"/>
    <w:tbl>
      <w:tblPr>
        <w:tblStyle w:val="TableGrid"/>
        <w:tblW w:w="0" w:type="auto"/>
        <w:tblLook w:val="04A0" w:firstRow="1" w:lastRow="0" w:firstColumn="1" w:lastColumn="0" w:noHBand="0" w:noVBand="1"/>
      </w:tblPr>
      <w:tblGrid>
        <w:gridCol w:w="2022"/>
        <w:gridCol w:w="7328"/>
      </w:tblGrid>
      <w:tr w:rsidR="00C3298D" w:rsidRPr="00F47C02" w14:paraId="08752F6E" w14:textId="77777777" w:rsidTr="00076022">
        <w:trPr>
          <w:tblHeader/>
        </w:trPr>
        <w:tc>
          <w:tcPr>
            <w:tcW w:w="9350" w:type="dxa"/>
            <w:gridSpan w:val="2"/>
            <w:shd w:val="clear" w:color="auto" w:fill="943634" w:themeFill="accent2" w:themeFillShade="BF"/>
          </w:tcPr>
          <w:p w14:paraId="541A1A70" w14:textId="77777777" w:rsidR="00C3298D" w:rsidRPr="003F3AE8" w:rsidRDefault="00C3298D" w:rsidP="008C07CF">
            <w:pPr>
              <w:rPr>
                <w:rFonts w:cstheme="minorHAnsi"/>
              </w:rPr>
            </w:pPr>
            <w:r>
              <w:rPr>
                <w:lang w:val="en-ZA"/>
              </w:rPr>
              <w:t xml:space="preserve">4.5.1.2. </w:t>
            </w:r>
            <w:r w:rsidRPr="000537CC">
              <w:rPr>
                <w:lang w:val="en-ZA"/>
              </w:rPr>
              <w:t>Sector projects are put in place to address specific sector skills gaps.</w:t>
            </w:r>
          </w:p>
        </w:tc>
      </w:tr>
      <w:tr w:rsidR="00C3298D" w:rsidRPr="00F47C02" w14:paraId="6B1A6762" w14:textId="77777777" w:rsidTr="00076022">
        <w:tc>
          <w:tcPr>
            <w:tcW w:w="2022" w:type="dxa"/>
            <w:shd w:val="clear" w:color="auto" w:fill="D9D9D9" w:themeFill="background1" w:themeFillShade="D9"/>
          </w:tcPr>
          <w:p w14:paraId="12A9424A" w14:textId="77777777" w:rsidR="00C3298D" w:rsidRPr="001F269C" w:rsidRDefault="00C3298D" w:rsidP="008C07CF">
            <w:pPr>
              <w:rPr>
                <w:rFonts w:cstheme="minorHAnsi"/>
              </w:rPr>
            </w:pPr>
            <w:r w:rsidRPr="000537CC">
              <w:rPr>
                <w:lang w:val="en-ZA"/>
              </w:rPr>
              <w:t>How many sector projects were in place?</w:t>
            </w:r>
          </w:p>
        </w:tc>
        <w:tc>
          <w:tcPr>
            <w:tcW w:w="7328" w:type="dxa"/>
            <w:shd w:val="clear" w:color="auto" w:fill="auto"/>
          </w:tcPr>
          <w:p w14:paraId="0260D49F" w14:textId="77777777" w:rsidR="000B6E53" w:rsidRDefault="00C3298D" w:rsidP="008C07CF">
            <w:r>
              <w:t xml:space="preserve">According to the NSDS III Implementation Progress Report, SETA skills development projects, funded by discretionary grants, are planned based on SSPs, and set-out in the Strategic Plans and Annual </w:t>
            </w:r>
            <w:r>
              <w:lastRenderedPageBreak/>
              <w:t xml:space="preserve">Performance Plans, and this includes employed learners’ skills. In retrospect, SETAs reported learners results per </w:t>
            </w:r>
            <w:proofErr w:type="spellStart"/>
            <w:r>
              <w:t>programme</w:t>
            </w:r>
            <w:proofErr w:type="spellEnd"/>
            <w:r>
              <w:t xml:space="preserve">; learners who entered the </w:t>
            </w:r>
            <w:proofErr w:type="spellStart"/>
            <w:r>
              <w:t>programmes</w:t>
            </w:r>
            <w:proofErr w:type="spellEnd"/>
            <w:r>
              <w:t xml:space="preserve"> and certificated. </w:t>
            </w:r>
            <w:r w:rsidR="002F4A9E">
              <w:t xml:space="preserve">In 2010/11, </w:t>
            </w:r>
            <w:r w:rsidR="002F4A9E" w:rsidRPr="00CA1446">
              <w:t>SETAs enrolled 129</w:t>
            </w:r>
            <w:r w:rsidR="002F4A9E">
              <w:t>,</w:t>
            </w:r>
            <w:r w:rsidR="002F4A9E" w:rsidRPr="00CA1446">
              <w:t xml:space="preserve">664 </w:t>
            </w:r>
            <w:r w:rsidR="002F4A9E" w:rsidRPr="00251543">
              <w:t xml:space="preserve">employed and unemployed </w:t>
            </w:r>
            <w:r w:rsidR="002F4A9E" w:rsidRPr="00CA1446">
              <w:t>learners</w:t>
            </w:r>
            <w:r w:rsidR="002F4A9E">
              <w:t xml:space="preserve"> in </w:t>
            </w:r>
            <w:r w:rsidR="002F4A9E" w:rsidRPr="00251543">
              <w:t xml:space="preserve">occupationally-directed </w:t>
            </w:r>
            <w:proofErr w:type="spellStart"/>
            <w:r w:rsidR="002F4A9E" w:rsidRPr="00251543">
              <w:t>programmes</w:t>
            </w:r>
            <w:proofErr w:type="spellEnd"/>
            <w:r>
              <w:t xml:space="preserve">. </w:t>
            </w:r>
            <w:r w:rsidR="002F4A9E">
              <w:t xml:space="preserve">This was through various sector projects and interventions. </w:t>
            </w:r>
            <w:r>
              <w:t xml:space="preserve">It was further reported in the same report that the NSF funded the DTI-BPO&amp;O Training Grant Scheme, which benefitted about 7 050 new workers under the incentive scheme for new investments and expansion initiatives.  </w:t>
            </w:r>
          </w:p>
          <w:p w14:paraId="57C99307" w14:textId="77777777" w:rsidR="00C3298D" w:rsidRDefault="00C3298D" w:rsidP="008C07CF">
            <w:r>
              <w:t xml:space="preserve"> </w:t>
            </w:r>
          </w:p>
        </w:tc>
      </w:tr>
      <w:tr w:rsidR="00C3298D" w:rsidRPr="00F47C02" w14:paraId="23BAE4F2" w14:textId="77777777" w:rsidTr="00076022">
        <w:tc>
          <w:tcPr>
            <w:tcW w:w="2022" w:type="dxa"/>
            <w:shd w:val="clear" w:color="auto" w:fill="D9D9D9" w:themeFill="background1" w:themeFillShade="D9"/>
          </w:tcPr>
          <w:p w14:paraId="6EFD0466" w14:textId="77777777" w:rsidR="00C3298D" w:rsidRPr="000537CC" w:rsidRDefault="00C3298D" w:rsidP="008C07CF">
            <w:pPr>
              <w:rPr>
                <w:lang w:val="en-ZA"/>
              </w:rPr>
            </w:pPr>
            <w:r w:rsidRPr="000537CC">
              <w:lastRenderedPageBreak/>
              <w:t>How many workers were trained in such projects?</w:t>
            </w:r>
          </w:p>
        </w:tc>
        <w:tc>
          <w:tcPr>
            <w:tcW w:w="7328" w:type="dxa"/>
            <w:shd w:val="clear" w:color="auto" w:fill="auto"/>
          </w:tcPr>
          <w:p w14:paraId="7B9EA92C" w14:textId="77777777" w:rsidR="00C3298D" w:rsidRDefault="00C3298D" w:rsidP="008C07CF">
            <w:r>
              <w:t xml:space="preserve">In total, 80 514 workers underwent training in the various categories of the training </w:t>
            </w:r>
            <w:proofErr w:type="spellStart"/>
            <w:r>
              <w:t>programmes</w:t>
            </w:r>
            <w:proofErr w:type="spellEnd"/>
            <w:r>
              <w:t xml:space="preserve">: </w:t>
            </w:r>
            <w:proofErr w:type="spellStart"/>
            <w:r>
              <w:t>Learnerships</w:t>
            </w:r>
            <w:proofErr w:type="spellEnd"/>
            <w:r>
              <w:t xml:space="preserve"> (19 192), Bursaries (6 792) Internships (146) and Skills </w:t>
            </w:r>
            <w:proofErr w:type="spellStart"/>
            <w:r>
              <w:t>Programmes</w:t>
            </w:r>
            <w:proofErr w:type="spellEnd"/>
            <w:r>
              <w:t xml:space="preserve"> (53 839). The NSDS III Progress Report noted that learners who were enrolled in the Training Grants Scheme were 7 050 between 2010/2011 to 2011/2012. It is assumed that such learners would potentially have been enrolled in 2010/2011, although this is not explicitly noted the in the NSDS III progress report that ALL of them were enrolled in 2010/11.</w:t>
            </w:r>
          </w:p>
          <w:p w14:paraId="10CD0163" w14:textId="77777777" w:rsidR="000B6E53" w:rsidRDefault="000B6E53" w:rsidP="008C07CF"/>
        </w:tc>
      </w:tr>
    </w:tbl>
    <w:p w14:paraId="53EDD14F" w14:textId="77777777" w:rsidR="00A200D0" w:rsidRDefault="00A200D0" w:rsidP="008C07CF"/>
    <w:tbl>
      <w:tblPr>
        <w:tblStyle w:val="TableGrid"/>
        <w:tblW w:w="0" w:type="auto"/>
        <w:tblLook w:val="04A0" w:firstRow="1" w:lastRow="0" w:firstColumn="1" w:lastColumn="0" w:noHBand="0" w:noVBand="1"/>
      </w:tblPr>
      <w:tblGrid>
        <w:gridCol w:w="2022"/>
        <w:gridCol w:w="7328"/>
      </w:tblGrid>
      <w:tr w:rsidR="008D55A7" w:rsidRPr="00F47C02" w14:paraId="0608BFC1" w14:textId="77777777" w:rsidTr="00813248">
        <w:trPr>
          <w:tblHeader/>
        </w:trPr>
        <w:tc>
          <w:tcPr>
            <w:tcW w:w="9350" w:type="dxa"/>
            <w:gridSpan w:val="2"/>
            <w:shd w:val="clear" w:color="auto" w:fill="943634" w:themeFill="accent2" w:themeFillShade="BF"/>
          </w:tcPr>
          <w:p w14:paraId="6583A2C8" w14:textId="77777777" w:rsidR="008D55A7" w:rsidRPr="003F3AE8" w:rsidRDefault="008D55A7" w:rsidP="008C07CF">
            <w:r w:rsidRPr="00FA141B">
              <w:rPr>
                <w:bCs/>
                <w:lang w:val="en-ZA" w:eastAsia="en-ZA"/>
              </w:rPr>
              <w:t xml:space="preserve">4.5.1.3: </w:t>
            </w:r>
            <w:r w:rsidRPr="00FA141B">
              <w:rPr>
                <w:lang w:val="en-ZA" w:eastAsia="en-ZA"/>
              </w:rPr>
              <w:t>Cross-sectoral projects are established to address skills needs along local supply chains aimed at supporting local economic development.</w:t>
            </w:r>
          </w:p>
        </w:tc>
      </w:tr>
      <w:tr w:rsidR="008D55A7" w:rsidRPr="00F47C02" w14:paraId="69A87136" w14:textId="77777777" w:rsidTr="00813248">
        <w:tc>
          <w:tcPr>
            <w:tcW w:w="2022" w:type="dxa"/>
            <w:shd w:val="clear" w:color="auto" w:fill="D9D9D9" w:themeFill="background1" w:themeFillShade="D9"/>
          </w:tcPr>
          <w:p w14:paraId="18B11493" w14:textId="77777777" w:rsidR="008D55A7" w:rsidRPr="001F269C" w:rsidRDefault="008D55A7" w:rsidP="008C07CF">
            <w:r w:rsidRPr="00FA141B">
              <w:t>How many cross sectoral projects along supply chains were in place?</w:t>
            </w:r>
          </w:p>
        </w:tc>
        <w:tc>
          <w:tcPr>
            <w:tcW w:w="7328" w:type="dxa"/>
            <w:shd w:val="clear" w:color="auto" w:fill="auto"/>
          </w:tcPr>
          <w:p w14:paraId="5C6F0D7D" w14:textId="77777777" w:rsidR="008D55A7" w:rsidRDefault="008D55A7" w:rsidP="008C07CF">
            <w:r>
              <w:t xml:space="preserve">Such projects were impossible to confirm and ascertain due to the nature of data capturing and information management within SETAs. However, it is generally accepted that SETAs find it very difficult to work outside of their sector. There </w:t>
            </w:r>
            <w:r w:rsidR="00D7675D">
              <w:t>was</w:t>
            </w:r>
            <w:r>
              <w:t xml:space="preserve"> a general concern within SETAs and within the DHET that cross-sectoral skills needs </w:t>
            </w:r>
            <w:r w:rsidR="00D7675D">
              <w:t>were</w:t>
            </w:r>
            <w:r>
              <w:t xml:space="preserve"> not being effectively coordinated. Some SETAs have used the value chain approach to develop their sector plans, and signal occupations that cut across sectors. However most do not and during NSDS II this was not a requirement.</w:t>
            </w:r>
          </w:p>
          <w:p w14:paraId="2B655631" w14:textId="77777777" w:rsidR="008D55A7" w:rsidRDefault="008D55A7" w:rsidP="008C07CF"/>
        </w:tc>
      </w:tr>
    </w:tbl>
    <w:p w14:paraId="7E0C1588" w14:textId="77777777" w:rsidR="008D55A7" w:rsidRDefault="008D55A7" w:rsidP="008C07CF"/>
    <w:p w14:paraId="30A2F858" w14:textId="77777777" w:rsidR="00674EAD" w:rsidRDefault="004830F2" w:rsidP="008C07CF">
      <w:r>
        <w:t>SUMMARY</w:t>
      </w:r>
    </w:p>
    <w:p w14:paraId="771E1E35" w14:textId="77777777" w:rsidR="00D00D75" w:rsidRDefault="000C5CB3" w:rsidP="008C07CF">
      <w:r w:rsidRPr="0017564D">
        <w:t>While the baseline could not establish the total number of projects</w:t>
      </w:r>
      <w:r w:rsidR="001217FD">
        <w:t xml:space="preserve">, available data confirms that workers were involved in training funded by the SETAs. </w:t>
      </w:r>
      <w:r w:rsidR="00FA128F">
        <w:t xml:space="preserve">In total, 80 514 workers underwent training across the various training </w:t>
      </w:r>
      <w:proofErr w:type="spellStart"/>
      <w:r w:rsidR="00FA128F">
        <w:t>programme</w:t>
      </w:r>
      <w:proofErr w:type="spellEnd"/>
      <w:r w:rsidR="00FA128F">
        <w:t xml:space="preserve">: </w:t>
      </w:r>
      <w:proofErr w:type="spellStart"/>
      <w:r w:rsidR="00FA128F">
        <w:t>learnerships</w:t>
      </w:r>
      <w:proofErr w:type="spellEnd"/>
      <w:r w:rsidR="00FA128F">
        <w:t xml:space="preserve">, Bursaries, Internships and Skills </w:t>
      </w:r>
      <w:proofErr w:type="spellStart"/>
      <w:r w:rsidR="00FA128F">
        <w:t>Programmes</w:t>
      </w:r>
      <w:proofErr w:type="spellEnd"/>
      <w:r w:rsidR="00FA128F">
        <w:t>. New workers also benefitted from NSF-funded Training Grant Scheme</w:t>
      </w:r>
      <w:r w:rsidR="001217FD">
        <w:t xml:space="preserve">, </w:t>
      </w:r>
      <w:r w:rsidR="00FA128F">
        <w:t xml:space="preserve">which extended beyond the NSDS II phase and benefitted 7 050 new workers. Owing to limited data, </w:t>
      </w:r>
      <w:r w:rsidR="0017564D">
        <w:lastRenderedPageBreak/>
        <w:t xml:space="preserve">it was not </w:t>
      </w:r>
      <w:r w:rsidR="00FA128F">
        <w:t xml:space="preserve">possible to </w:t>
      </w:r>
      <w:r w:rsidR="0017564D">
        <w:t xml:space="preserve">ascertain </w:t>
      </w:r>
      <w:r w:rsidR="00FA128F">
        <w:t>the actual number of projects but</w:t>
      </w:r>
      <w:r w:rsidR="00BB37E7">
        <w:t xml:space="preserve"> </w:t>
      </w:r>
      <w:r w:rsidR="008C07CF">
        <w:t>only the</w:t>
      </w:r>
      <w:r w:rsidR="00FA128F">
        <w:t xml:space="preserve"> beneficiaries.</w:t>
      </w:r>
      <w:r w:rsidR="0017564D">
        <w:t xml:space="preserve"> </w:t>
      </w:r>
      <w:r w:rsidR="002E28F7" w:rsidRPr="0017564D">
        <w:t xml:space="preserve"> </w:t>
      </w:r>
      <w:r w:rsidR="00D7675D">
        <w:t>Supply chain training could not be identified.</w:t>
      </w:r>
    </w:p>
    <w:p w14:paraId="5979DA14" w14:textId="77777777" w:rsidR="00377F8A" w:rsidRPr="0017564D" w:rsidRDefault="00377F8A" w:rsidP="008C07CF"/>
    <w:p w14:paraId="32B010CD" w14:textId="77777777" w:rsidR="00951E95" w:rsidRDefault="00D00D75" w:rsidP="008C07CF">
      <w:pPr>
        <w:pStyle w:val="Heading2"/>
        <w:rPr>
          <w:sz w:val="22"/>
        </w:rPr>
      </w:pPr>
      <w:bookmarkStart w:id="28" w:name="_Toc488525874"/>
      <w:r w:rsidRPr="00396F69">
        <w:t xml:space="preserve">Goal 6: Encouraging and </w:t>
      </w:r>
      <w:r w:rsidR="00951E95">
        <w:t>S</w:t>
      </w:r>
      <w:r w:rsidRPr="00396F69">
        <w:t xml:space="preserve">upporting </w:t>
      </w:r>
      <w:r w:rsidR="00951E95">
        <w:t>C</w:t>
      </w:r>
      <w:r w:rsidRPr="00396F69">
        <w:t xml:space="preserve">ooperatives, </w:t>
      </w:r>
      <w:r w:rsidR="00951E95">
        <w:t>S</w:t>
      </w:r>
      <w:r w:rsidRPr="00396F69">
        <w:t xml:space="preserve">mall </w:t>
      </w:r>
      <w:r w:rsidR="00951E95">
        <w:t>E</w:t>
      </w:r>
      <w:r w:rsidRPr="00396F69">
        <w:t xml:space="preserve">nterprises, </w:t>
      </w:r>
      <w:r w:rsidR="00951E95">
        <w:t>W</w:t>
      </w:r>
      <w:r w:rsidRPr="00396F69">
        <w:t>orker</w:t>
      </w:r>
      <w:r w:rsidR="00C53951">
        <w:t xml:space="preserve"> </w:t>
      </w:r>
      <w:r w:rsidR="00951E95">
        <w:t>I</w:t>
      </w:r>
      <w:r w:rsidRPr="00396F69">
        <w:t>nitiated,</w:t>
      </w:r>
      <w:r>
        <w:t xml:space="preserve"> </w:t>
      </w:r>
      <w:r w:rsidRPr="00396F69">
        <w:t xml:space="preserve">NGO and </w:t>
      </w:r>
      <w:r w:rsidR="00951E95">
        <w:t>C</w:t>
      </w:r>
      <w:r w:rsidRPr="00396F69">
        <w:t xml:space="preserve">ommunity </w:t>
      </w:r>
      <w:r w:rsidR="00951E95">
        <w:t>T</w:t>
      </w:r>
      <w:r w:rsidRPr="00396F69">
        <w:t xml:space="preserve">raining </w:t>
      </w:r>
      <w:r w:rsidR="00951E95">
        <w:t>I</w:t>
      </w:r>
      <w:r w:rsidRPr="00396F69">
        <w:t>nitiatives</w:t>
      </w:r>
      <w:bookmarkEnd w:id="28"/>
      <w:r w:rsidRPr="00D00D75">
        <w:rPr>
          <w:sz w:val="22"/>
        </w:rPr>
        <w:br/>
      </w:r>
    </w:p>
    <w:p w14:paraId="278152A7" w14:textId="77777777" w:rsidR="00455EA0" w:rsidRPr="00396F69" w:rsidRDefault="00F45B0B" w:rsidP="008C07CF">
      <w:r w:rsidRPr="00396F69">
        <w:t>Outcome 4.6.1</w:t>
      </w:r>
      <w:r w:rsidR="00674EAD" w:rsidRPr="00396F69">
        <w:rPr>
          <w:lang w:val="en-ZA" w:eastAsia="en-ZA"/>
        </w:rPr>
        <w:t xml:space="preserve">: </w:t>
      </w:r>
      <w:r w:rsidR="00455EA0" w:rsidRPr="00396F69">
        <w:rPr>
          <w:lang w:val="en-ZA" w:eastAsia="en-ZA"/>
        </w:rPr>
        <w:t xml:space="preserve">Cooperatives supported with skills training and development </w:t>
      </w:r>
      <w:r w:rsidR="00F628C6" w:rsidRPr="00396F69">
        <w:rPr>
          <w:lang w:val="en-ZA" w:eastAsia="en-ZA"/>
        </w:rPr>
        <w:t xml:space="preserve">expand and contribute to sector </w:t>
      </w:r>
      <w:r w:rsidR="00455EA0" w:rsidRPr="00396F69">
        <w:rPr>
          <w:lang w:val="en-ZA" w:eastAsia="en-ZA"/>
        </w:rPr>
        <w:t>economic and employment growth</w:t>
      </w:r>
      <w:r w:rsidR="00455EA0" w:rsidRPr="00396F69">
        <w:t xml:space="preserve"> </w:t>
      </w:r>
    </w:p>
    <w:p w14:paraId="274CA3C4" w14:textId="77777777" w:rsidR="00C3298D" w:rsidRDefault="00622E28" w:rsidP="008C07CF">
      <w:r w:rsidRPr="00271FAC">
        <w:t>The promulgation of the Cooperatives Act in 2005 led to an extra-</w:t>
      </w:r>
      <w:r w:rsidR="00036B2B" w:rsidRPr="00271FAC">
        <w:t>ordinary</w:t>
      </w:r>
      <w:r w:rsidRPr="00271FAC">
        <w:t xml:space="preserve"> boom </w:t>
      </w:r>
      <w:r w:rsidR="00D7675D">
        <w:t>in the establishment and registration of</w:t>
      </w:r>
      <w:r w:rsidR="00896AEC">
        <w:t xml:space="preserve"> cooperatives</w:t>
      </w:r>
      <w:r w:rsidR="00271FAC" w:rsidRPr="00271FAC">
        <w:t xml:space="preserve">. </w:t>
      </w:r>
      <w:r w:rsidRPr="00271FAC">
        <w:t>The majority were black women and youth-owned</w:t>
      </w:r>
      <w:r w:rsidR="00271FAC">
        <w:t>, operating across all sectors of the economy, courtesy to the regulation</w:t>
      </w:r>
      <w:r w:rsidRPr="00271FAC">
        <w:t>.</w:t>
      </w:r>
      <w:r w:rsidR="00271FAC" w:rsidRPr="00271FAC">
        <w:t xml:space="preserve"> </w:t>
      </w:r>
      <w:r w:rsidR="00036B2B" w:rsidRPr="00271FAC">
        <w:t>However,</w:t>
      </w:r>
      <w:r w:rsidR="00271FAC" w:rsidRPr="00271FAC">
        <w:t xml:space="preserve"> </w:t>
      </w:r>
      <w:r w:rsidR="00036B2B" w:rsidRPr="00271FAC">
        <w:t>these owners</w:t>
      </w:r>
      <w:r w:rsidR="00271FAC" w:rsidRPr="00271FAC">
        <w:t xml:space="preserve"> </w:t>
      </w:r>
      <w:r w:rsidR="00896AEC">
        <w:t>we</w:t>
      </w:r>
      <w:r w:rsidR="00271FAC" w:rsidRPr="00271FAC">
        <w:t xml:space="preserve">re </w:t>
      </w:r>
      <w:r w:rsidR="00896AEC">
        <w:t xml:space="preserve">reportedly </w:t>
      </w:r>
      <w:r w:rsidR="00271FAC" w:rsidRPr="00271FAC">
        <w:t xml:space="preserve">vulnerable and weak, requiring high and </w:t>
      </w:r>
      <w:r w:rsidR="00271FAC" w:rsidRPr="004A08B1">
        <w:t>sustained level of support (</w:t>
      </w:r>
      <w:r w:rsidR="004A08B1" w:rsidRPr="004A08B1">
        <w:t>DTI, 2005</w:t>
      </w:r>
      <w:r w:rsidR="00271FAC" w:rsidRPr="004A08B1">
        <w:t xml:space="preserve">). </w:t>
      </w:r>
      <w:r w:rsidR="004A08B1">
        <w:t>Such support required</w:t>
      </w:r>
      <w:r w:rsidR="00036B2B">
        <w:t xml:space="preserve"> well-informed inte</w:t>
      </w:r>
      <w:r w:rsidR="00036B2B" w:rsidRPr="004A08B1">
        <w:t>rv</w:t>
      </w:r>
      <w:r w:rsidR="00036B2B">
        <w:t>en</w:t>
      </w:r>
      <w:r w:rsidR="00036B2B" w:rsidRPr="004A08B1">
        <w:t>tions</w:t>
      </w:r>
      <w:r w:rsidR="00271FAC" w:rsidRPr="004A08B1">
        <w:t>, backed up by</w:t>
      </w:r>
      <w:r w:rsidR="00271FAC">
        <w:t xml:space="preserve"> needs assessment and analysis.</w:t>
      </w:r>
      <w:r w:rsidR="003617A3">
        <w:t xml:space="preserve"> The absence of coordinated support </w:t>
      </w:r>
      <w:r w:rsidR="001E4B1C">
        <w:t xml:space="preserve">(not only training but access to land, loans, machinery, markets </w:t>
      </w:r>
      <w:r w:rsidR="00C131E4">
        <w:t>etc.</w:t>
      </w:r>
      <w:r w:rsidR="001E4B1C">
        <w:t xml:space="preserve">) </w:t>
      </w:r>
      <w:r w:rsidR="003617A3">
        <w:t>led to a drastic dec</w:t>
      </w:r>
      <w:r w:rsidR="00896AEC">
        <w:t xml:space="preserve">line of operational </w:t>
      </w:r>
      <w:r w:rsidR="004A08B1">
        <w:t>cooperatives</w:t>
      </w:r>
      <w:r w:rsidR="00896AEC">
        <w:t>, from</w:t>
      </w:r>
      <w:r w:rsidR="003617A3">
        <w:t xml:space="preserve"> over 22 000 to just above 2600. To t</w:t>
      </w:r>
      <w:r w:rsidR="00896AEC">
        <w:t>hat</w:t>
      </w:r>
      <w:r w:rsidR="003617A3">
        <w:t xml:space="preserve"> end, SETAs were mandated </w:t>
      </w:r>
      <w:r w:rsidR="00036B2B">
        <w:t>through</w:t>
      </w:r>
      <w:r w:rsidR="00896AEC">
        <w:t xml:space="preserve"> the NSDS II, to</w:t>
      </w:r>
      <w:r w:rsidR="003617A3">
        <w:t xml:space="preserve"> identify them, assess their capacity needs and provide support.</w:t>
      </w:r>
    </w:p>
    <w:tbl>
      <w:tblPr>
        <w:tblStyle w:val="TableGrid"/>
        <w:tblW w:w="0" w:type="auto"/>
        <w:tblLook w:val="04A0" w:firstRow="1" w:lastRow="0" w:firstColumn="1" w:lastColumn="0" w:noHBand="0" w:noVBand="1"/>
      </w:tblPr>
      <w:tblGrid>
        <w:gridCol w:w="2022"/>
        <w:gridCol w:w="7328"/>
      </w:tblGrid>
      <w:tr w:rsidR="00C3298D" w:rsidRPr="00F47C02" w14:paraId="47252CC9" w14:textId="77777777" w:rsidTr="00076022">
        <w:trPr>
          <w:tblHeader/>
        </w:trPr>
        <w:tc>
          <w:tcPr>
            <w:tcW w:w="9350" w:type="dxa"/>
            <w:gridSpan w:val="2"/>
            <w:shd w:val="clear" w:color="auto" w:fill="943634" w:themeFill="accent2" w:themeFillShade="BF"/>
          </w:tcPr>
          <w:p w14:paraId="42335A8A" w14:textId="77777777" w:rsidR="00C3298D" w:rsidRPr="003F3AE8" w:rsidRDefault="00C3298D" w:rsidP="008C07CF">
            <w:r w:rsidRPr="00C3298D">
              <w:rPr>
                <w:lang w:val="en-ZA" w:eastAsia="en-ZA"/>
              </w:rPr>
              <w:t>Output 4.6.1.1: SETAs identify in their skills planning research, established and emergent cooperatives and their skills needs.</w:t>
            </w:r>
          </w:p>
        </w:tc>
      </w:tr>
      <w:tr w:rsidR="00C3298D" w:rsidRPr="00F47C02" w14:paraId="3B3E8058" w14:textId="77777777" w:rsidTr="00076022">
        <w:tc>
          <w:tcPr>
            <w:tcW w:w="2022" w:type="dxa"/>
            <w:shd w:val="clear" w:color="auto" w:fill="D9D9D9" w:themeFill="background1" w:themeFillShade="D9"/>
          </w:tcPr>
          <w:p w14:paraId="7833EDE3" w14:textId="77777777" w:rsidR="00C3298D" w:rsidRPr="001F269C" w:rsidRDefault="00C3298D" w:rsidP="008C07CF">
            <w:r w:rsidRPr="00396F69">
              <w:rPr>
                <w:lang w:val="en-ZA"/>
              </w:rPr>
              <w:t>How many cooperatives had been identified?</w:t>
            </w:r>
          </w:p>
        </w:tc>
        <w:tc>
          <w:tcPr>
            <w:tcW w:w="7328" w:type="dxa"/>
            <w:shd w:val="clear" w:color="auto" w:fill="auto"/>
          </w:tcPr>
          <w:p w14:paraId="7B3A199E" w14:textId="77777777" w:rsidR="000B6E53" w:rsidRDefault="00C3298D" w:rsidP="008C07CF">
            <w:pPr>
              <w:rPr>
                <w:lang w:val="en-ZA"/>
              </w:rPr>
            </w:pPr>
            <w:r>
              <w:rPr>
                <w:lang w:val="en-ZA"/>
              </w:rPr>
              <w:t>CIPRO data revealed at that time that there were about 22 030 active cooperatives in the country, of which only 2 644 were confirmed operational, representing 12% survival rate or 88% mortality rate (DTI, 2012). Of these, 19 550 were registered between 2005-2009, courtesy to the promulgation of the Cooperatives Act. The decline in the number of operational cooperatives was attributed to amongst others; lack of training, especially cooperatives that required specialist technical knowledge (</w:t>
            </w:r>
            <w:proofErr w:type="spellStart"/>
            <w:r>
              <w:rPr>
                <w:lang w:val="en-ZA"/>
              </w:rPr>
              <w:t>Cosser</w:t>
            </w:r>
            <w:proofErr w:type="spellEnd"/>
            <w:r>
              <w:rPr>
                <w:lang w:val="en-ZA"/>
              </w:rPr>
              <w:t xml:space="preserve"> et al, 2012). It was noted that at the time of reporting, about 62% of all cooperatives had not received training in the past two years (DTI, 2012). </w:t>
            </w:r>
          </w:p>
          <w:p w14:paraId="7EF5C1D9" w14:textId="77777777" w:rsidR="000B6E53" w:rsidRDefault="000B6E53" w:rsidP="008C07CF">
            <w:pPr>
              <w:rPr>
                <w:lang w:val="en-ZA"/>
              </w:rPr>
            </w:pPr>
          </w:p>
          <w:p w14:paraId="351AA0FD" w14:textId="77777777" w:rsidR="00C3298D" w:rsidRDefault="00C3298D" w:rsidP="008C07CF">
            <w:pPr>
              <w:rPr>
                <w:lang w:val="en-ZA"/>
              </w:rPr>
            </w:pPr>
            <w:r>
              <w:rPr>
                <w:lang w:val="en-ZA"/>
              </w:rPr>
              <w:t>Because many co-operatives were formed based on very low turnover and income, most co-operatives were not paying levies to a SETA. Very few SETAs collected detailed information in relation to non-levy paying employers as they did not submit WSPs and ATRs and would have only appeared on the SARS database as a name, without any details of income or nature of work. SETAs have generally not commissioned primary research into informal employment or cooperatives.</w:t>
            </w:r>
            <w:r w:rsidR="000B6E53">
              <w:rPr>
                <w:lang w:val="en-ZA"/>
              </w:rPr>
              <w:t xml:space="preserve"> </w:t>
            </w:r>
          </w:p>
          <w:p w14:paraId="599EC6D3" w14:textId="77777777" w:rsidR="000B6E53" w:rsidRDefault="000B6E53" w:rsidP="008C07CF"/>
        </w:tc>
      </w:tr>
      <w:tr w:rsidR="00C3298D" w:rsidRPr="00F47C02" w14:paraId="7664C014" w14:textId="77777777" w:rsidTr="00076022">
        <w:trPr>
          <w:tblHeader/>
        </w:trPr>
        <w:tc>
          <w:tcPr>
            <w:tcW w:w="9350" w:type="dxa"/>
            <w:gridSpan w:val="2"/>
            <w:shd w:val="clear" w:color="auto" w:fill="943634" w:themeFill="accent2" w:themeFillShade="BF"/>
          </w:tcPr>
          <w:p w14:paraId="67CE74D3" w14:textId="77777777" w:rsidR="00C3298D" w:rsidRPr="003F3AE8" w:rsidRDefault="00C3298D" w:rsidP="008C07CF">
            <w:r w:rsidRPr="00396F69">
              <w:lastRenderedPageBreak/>
              <w:t>Output 4.6.1.2:</w:t>
            </w:r>
            <w:r w:rsidRPr="00396F69">
              <w:tab/>
            </w:r>
            <w:r w:rsidRPr="00396F69">
              <w:rPr>
                <w:lang w:val="en-ZA" w:eastAsia="en-ZA"/>
              </w:rPr>
              <w:t>Sector projects are established by sector stakeholders, supported by the NSF.</w:t>
            </w:r>
          </w:p>
        </w:tc>
      </w:tr>
      <w:tr w:rsidR="00C3298D" w:rsidRPr="00F47C02" w14:paraId="1CE4C9BB" w14:textId="77777777" w:rsidTr="00076022">
        <w:tc>
          <w:tcPr>
            <w:tcW w:w="2022" w:type="dxa"/>
            <w:shd w:val="clear" w:color="auto" w:fill="D9D9D9" w:themeFill="background1" w:themeFillShade="D9"/>
          </w:tcPr>
          <w:p w14:paraId="1229C205" w14:textId="77777777" w:rsidR="00C3298D" w:rsidRPr="001F269C" w:rsidRDefault="00C3298D" w:rsidP="008C07CF">
            <w:r w:rsidRPr="00396F69">
              <w:rPr>
                <w:lang w:val="en-ZA"/>
              </w:rPr>
              <w:t>How many projects were established in SETAs and How many were supported by the NSF?</w:t>
            </w:r>
          </w:p>
        </w:tc>
        <w:tc>
          <w:tcPr>
            <w:tcW w:w="7328" w:type="dxa"/>
            <w:shd w:val="clear" w:color="auto" w:fill="auto"/>
          </w:tcPr>
          <w:p w14:paraId="6704EBF1" w14:textId="77777777" w:rsidR="00C3298D" w:rsidRDefault="00C3298D" w:rsidP="008C07CF">
            <w:r w:rsidRPr="00396F69">
              <w:rPr>
                <w:lang w:val="en-ZA"/>
              </w:rPr>
              <w:t xml:space="preserve">Evidence in annual reports of some SETAs shows that there </w:t>
            </w:r>
            <w:r w:rsidRPr="000D6C4C">
              <w:rPr>
                <w:lang w:val="en-ZA"/>
              </w:rPr>
              <w:t>was</w:t>
            </w:r>
            <w:r w:rsidRPr="00396F69">
              <w:rPr>
                <w:lang w:val="en-ZA"/>
              </w:rPr>
              <w:t xml:space="preserve"> </w:t>
            </w:r>
            <w:r>
              <w:rPr>
                <w:lang w:val="en-ZA"/>
              </w:rPr>
              <w:t xml:space="preserve">training </w:t>
            </w:r>
            <w:r w:rsidRPr="00396F69">
              <w:rPr>
                <w:lang w:val="en-ZA"/>
              </w:rPr>
              <w:t>support to cooperatives</w:t>
            </w:r>
            <w:r>
              <w:rPr>
                <w:lang w:val="en-ZA"/>
              </w:rPr>
              <w:t xml:space="preserve">. </w:t>
            </w:r>
            <w:r w:rsidRPr="00396F69">
              <w:rPr>
                <w:lang w:val="en-ZA"/>
              </w:rPr>
              <w:t xml:space="preserve">For an example, MQA reported in its annual report that it had invested about R8 333 105 in 185 small BEE organisations. A combined total of 698 involved support by </w:t>
            </w:r>
            <w:proofErr w:type="spellStart"/>
            <w:r w:rsidRPr="00396F69">
              <w:rPr>
                <w:lang w:val="en-ZA"/>
              </w:rPr>
              <w:t>AgriSETA</w:t>
            </w:r>
            <w:proofErr w:type="spellEnd"/>
            <w:r w:rsidRPr="00396F69">
              <w:rPr>
                <w:lang w:val="en-ZA"/>
              </w:rPr>
              <w:t>, W&amp;R and FASSET.</w:t>
            </w:r>
            <w:r w:rsidRPr="000D6C4C">
              <w:rPr>
                <w:lang w:val="en-ZA"/>
              </w:rPr>
              <w:t xml:space="preserve"> It was reported that the NSF </w:t>
            </w:r>
            <w:r w:rsidRPr="000D6C4C">
              <w:t xml:space="preserve">had </w:t>
            </w:r>
            <w:r w:rsidRPr="00396F69">
              <w:t>established</w:t>
            </w:r>
            <w:r w:rsidRPr="000D6C4C">
              <w:t xml:space="preserve"> and supported the</w:t>
            </w:r>
            <w:r w:rsidRPr="00396F69">
              <w:t xml:space="preserve"> </w:t>
            </w:r>
            <w:r w:rsidRPr="00396F69">
              <w:rPr>
                <w:i/>
              </w:rPr>
              <w:t xml:space="preserve">Cooperatives Development Facilitators </w:t>
            </w:r>
            <w:proofErr w:type="spellStart"/>
            <w:r w:rsidRPr="00396F69">
              <w:rPr>
                <w:i/>
              </w:rPr>
              <w:t>Learnership</w:t>
            </w:r>
            <w:proofErr w:type="spellEnd"/>
            <w:r w:rsidRPr="00396F69">
              <w:rPr>
                <w:i/>
              </w:rPr>
              <w:t>,</w:t>
            </w:r>
            <w:r w:rsidRPr="000D6C4C">
              <w:rPr>
                <w:i/>
              </w:rPr>
              <w:t xml:space="preserve"> which</w:t>
            </w:r>
            <w:r w:rsidRPr="00396F69">
              <w:t xml:space="preserve"> was </w:t>
            </w:r>
            <w:r w:rsidRPr="000D6C4C">
              <w:t xml:space="preserve">broadly </w:t>
            </w:r>
            <w:r w:rsidRPr="00396F69">
              <w:t>implemented across all the provinces, enrolling 220 learners with 118 certificated.</w:t>
            </w:r>
            <w:r>
              <w:t xml:space="preserve"> </w:t>
            </w:r>
            <w:proofErr w:type="spellStart"/>
            <w:r>
              <w:t>AgriSeta</w:t>
            </w:r>
            <w:proofErr w:type="spellEnd"/>
            <w:r>
              <w:t xml:space="preserve"> reported in its 2011-2016 SSP that it had a partnership with the Department of Land and Rural Development in which the Seta allocated R20 million for training for Communal Property Associations (CPAs). NSF also supported several small BEE enterprises and cooperatives with skills development.</w:t>
            </w:r>
            <w:r w:rsidR="00DD73F3">
              <w:t xml:space="preserve"> </w:t>
            </w:r>
            <w:r w:rsidR="008C07CF">
              <w:t>However,</w:t>
            </w:r>
            <w:r w:rsidR="00DD73F3">
              <w:t xml:space="preserve"> it is noticeable that there is no specific separation in the data of cooperatives and other forms of “BEE” and “SME” enterprises. In </w:t>
            </w:r>
            <w:proofErr w:type="gramStart"/>
            <w:r w:rsidR="00DD73F3">
              <w:t>general</w:t>
            </w:r>
            <w:proofErr w:type="gramEnd"/>
            <w:r w:rsidR="00DD73F3">
              <w:t xml:space="preserve"> SETAs had very limited information on micro-enterprises in their sector as research into this sector has been limited and when commissioned tends to be very expensive and </w:t>
            </w:r>
            <w:proofErr w:type="spellStart"/>
            <w:r w:rsidR="00DD73F3">
              <w:t>labour</w:t>
            </w:r>
            <w:proofErr w:type="spellEnd"/>
            <w:r w:rsidR="00DD73F3">
              <w:t xml:space="preserve"> intensive. So even in those SETAs where some work was being done with cooperatives it was very unclear whether there were actual cooperatives being trained doing actual paid work in manner determined by cooperative principles. </w:t>
            </w:r>
          </w:p>
          <w:p w14:paraId="42DC6A3F" w14:textId="77777777" w:rsidR="000B6E53" w:rsidRDefault="000B6E53" w:rsidP="008C07CF"/>
        </w:tc>
      </w:tr>
    </w:tbl>
    <w:p w14:paraId="101BD26B" w14:textId="77777777" w:rsidR="00C3298D" w:rsidRDefault="00C3298D" w:rsidP="008C07CF"/>
    <w:tbl>
      <w:tblPr>
        <w:tblStyle w:val="TableGrid"/>
        <w:tblW w:w="9498" w:type="dxa"/>
        <w:tblInd w:w="108" w:type="dxa"/>
        <w:tblLook w:val="04A0" w:firstRow="1" w:lastRow="0" w:firstColumn="1" w:lastColumn="0" w:noHBand="0" w:noVBand="1"/>
      </w:tblPr>
      <w:tblGrid>
        <w:gridCol w:w="9498"/>
      </w:tblGrid>
      <w:tr w:rsidR="00707261" w:rsidRPr="00F47C02" w14:paraId="209CA1CB" w14:textId="77777777" w:rsidTr="00DD73F3">
        <w:trPr>
          <w:tblHeader/>
        </w:trPr>
        <w:tc>
          <w:tcPr>
            <w:tcW w:w="9498" w:type="dxa"/>
            <w:shd w:val="clear" w:color="auto" w:fill="943634" w:themeFill="accent2" w:themeFillShade="BF"/>
          </w:tcPr>
          <w:p w14:paraId="1664114A" w14:textId="77777777" w:rsidR="00707261" w:rsidRPr="005564EC" w:rsidRDefault="00707261" w:rsidP="008C07CF">
            <w:pPr>
              <w:rPr>
                <w:lang w:val="en-ZA"/>
              </w:rPr>
            </w:pPr>
            <w:r w:rsidRPr="00396F69">
              <w:t>Output 4.6.1.3:</w:t>
            </w:r>
            <w:r w:rsidRPr="00396F69">
              <w:tab/>
            </w:r>
            <w:r w:rsidRPr="00396F69">
              <w:rPr>
                <w:lang w:val="en-ZA"/>
              </w:rPr>
              <w:t>A national database of cooperatives supported with skills development is established and the impact of training reported on.</w:t>
            </w:r>
          </w:p>
          <w:p w14:paraId="17F80320" w14:textId="77777777" w:rsidR="004C2AE1" w:rsidRPr="00396F69" w:rsidRDefault="004C2AE1" w:rsidP="008C07CF"/>
        </w:tc>
      </w:tr>
      <w:tr w:rsidR="00707261" w:rsidRPr="00F47C02" w14:paraId="3DE6203B" w14:textId="77777777" w:rsidTr="00396F69">
        <w:tc>
          <w:tcPr>
            <w:tcW w:w="9498" w:type="dxa"/>
            <w:shd w:val="clear" w:color="auto" w:fill="D9D9D9" w:themeFill="background1" w:themeFillShade="D9"/>
          </w:tcPr>
          <w:p w14:paraId="33F7A0F2" w14:textId="77777777" w:rsidR="00707261" w:rsidRPr="00396F69" w:rsidRDefault="00707261" w:rsidP="008C07CF">
            <w:pPr>
              <w:pStyle w:val="ListParagraph"/>
            </w:pPr>
            <w:r w:rsidRPr="00396F69">
              <w:rPr>
                <w:lang w:val="en-ZA"/>
              </w:rPr>
              <w:t>To what extent were cooperatives being tracked and their needs documented nationally?</w:t>
            </w:r>
          </w:p>
        </w:tc>
      </w:tr>
      <w:tr w:rsidR="00CD42F7" w:rsidRPr="00F47C02" w14:paraId="6BE94CB2" w14:textId="77777777" w:rsidTr="00CD42F7">
        <w:trPr>
          <w:trHeight w:val="6179"/>
        </w:trPr>
        <w:tc>
          <w:tcPr>
            <w:tcW w:w="9498" w:type="dxa"/>
            <w:shd w:val="clear" w:color="auto" w:fill="auto"/>
          </w:tcPr>
          <w:p w14:paraId="406F59BD" w14:textId="69DE4049" w:rsidR="00CD42F7" w:rsidRDefault="00CD42F7" w:rsidP="008C07CF">
            <w:r>
              <w:lastRenderedPageBreak/>
              <w:t>The only reliable source of information was reportedly the Registrar of Companies (CIPRO</w:t>
            </w:r>
            <w:r w:rsidR="00DD73F3">
              <w:t>, now CIPC</w:t>
            </w:r>
            <w:r>
              <w:t xml:space="preserve">). The DTI’s Integrated Strategy on the Development and Promotion of Cooperatives (2012) identified broad training interventions as presented in </w:t>
            </w:r>
            <w:r>
              <w:rPr>
                <w:b/>
              </w:rPr>
              <w:t xml:space="preserve">Table </w:t>
            </w:r>
            <w:r w:rsidR="00C56A20">
              <w:rPr>
                <w:b/>
              </w:rPr>
              <w:t>3</w:t>
            </w:r>
            <w:r>
              <w:t xml:space="preserve"> below: </w:t>
            </w:r>
          </w:p>
          <w:p w14:paraId="0AD28D7E" w14:textId="77777777" w:rsidR="00C56A20" w:rsidRDefault="00C56A20" w:rsidP="008C07CF"/>
          <w:p w14:paraId="4A8AC87B" w14:textId="0E552782" w:rsidR="00CD42F7" w:rsidRPr="005F0E9B" w:rsidRDefault="00CD42F7" w:rsidP="008C07CF">
            <w:r w:rsidRPr="005F0E9B">
              <w:t xml:space="preserve">Table </w:t>
            </w:r>
            <w:r w:rsidR="00C56A20">
              <w:t>3</w:t>
            </w:r>
            <w:r>
              <w:t>: Training needs of Cooperatives as identified by DTI</w:t>
            </w:r>
          </w:p>
          <w:tbl>
            <w:tblPr>
              <w:tblStyle w:val="GridTable5Dark-Accent6"/>
              <w:tblW w:w="0" w:type="auto"/>
              <w:tblLook w:val="04A0" w:firstRow="1" w:lastRow="0" w:firstColumn="1" w:lastColumn="0" w:noHBand="0" w:noVBand="1"/>
            </w:tblPr>
            <w:tblGrid>
              <w:gridCol w:w="5135"/>
              <w:gridCol w:w="2126"/>
              <w:gridCol w:w="2011"/>
            </w:tblGrid>
            <w:tr w:rsidR="00CD42F7" w:rsidRPr="005F0E9B" w14:paraId="3E41A989" w14:textId="77777777" w:rsidTr="004F7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5" w:type="dxa"/>
                </w:tcPr>
                <w:p w14:paraId="4939E8E1" w14:textId="77777777" w:rsidR="00CD42F7" w:rsidRPr="005F0E9B" w:rsidRDefault="00CD42F7" w:rsidP="008C07CF">
                  <w:r w:rsidRPr="005F0E9B">
                    <w:t>Training Intervention Required</w:t>
                  </w:r>
                </w:p>
              </w:tc>
              <w:tc>
                <w:tcPr>
                  <w:tcW w:w="2126" w:type="dxa"/>
                </w:tcPr>
                <w:p w14:paraId="4DA7E38B" w14:textId="77777777" w:rsidR="00CD42F7" w:rsidRPr="005F0E9B" w:rsidRDefault="00CD42F7" w:rsidP="008C07CF">
                  <w:pPr>
                    <w:cnfStyle w:val="100000000000" w:firstRow="1" w:lastRow="0" w:firstColumn="0" w:lastColumn="0" w:oddVBand="0" w:evenVBand="0" w:oddHBand="0" w:evenHBand="0" w:firstRowFirstColumn="0" w:firstRowLastColumn="0" w:lastRowFirstColumn="0" w:lastRowLastColumn="0"/>
                  </w:pPr>
                  <w:r w:rsidRPr="005F0E9B">
                    <w:t>No of Cooperatives</w:t>
                  </w:r>
                </w:p>
              </w:tc>
              <w:tc>
                <w:tcPr>
                  <w:tcW w:w="2011" w:type="dxa"/>
                </w:tcPr>
                <w:p w14:paraId="3CD1233D" w14:textId="77777777" w:rsidR="00CD42F7" w:rsidRPr="005F0E9B" w:rsidRDefault="00CD42F7" w:rsidP="008C07CF">
                  <w:pPr>
                    <w:cnfStyle w:val="100000000000" w:firstRow="1" w:lastRow="0" w:firstColumn="0" w:lastColumn="0" w:oddVBand="0" w:evenVBand="0" w:oddHBand="0" w:evenHBand="0" w:firstRowFirstColumn="0" w:firstRowLastColumn="0" w:lastRowFirstColumn="0" w:lastRowLastColumn="0"/>
                  </w:pPr>
                  <w:r w:rsidRPr="005F0E9B">
                    <w:t>% of Cooperatives</w:t>
                  </w:r>
                </w:p>
              </w:tc>
            </w:tr>
            <w:tr w:rsidR="00CD42F7" w14:paraId="0DAB5C3F" w14:textId="77777777" w:rsidTr="004F7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5" w:type="dxa"/>
                </w:tcPr>
                <w:p w14:paraId="7811C675" w14:textId="77777777" w:rsidR="00CD42F7" w:rsidRPr="005F0E9B" w:rsidRDefault="00CD42F7" w:rsidP="008C07CF">
                  <w:r w:rsidRPr="005F0E9B">
                    <w:t>Sector Specific Training</w:t>
                  </w:r>
                </w:p>
              </w:tc>
              <w:tc>
                <w:tcPr>
                  <w:tcW w:w="2126" w:type="dxa"/>
                </w:tcPr>
                <w:p w14:paraId="5CF7609A" w14:textId="77777777" w:rsidR="00CD42F7" w:rsidRDefault="00CD42F7" w:rsidP="008C07CF">
                  <w:pPr>
                    <w:cnfStyle w:val="000000100000" w:firstRow="0" w:lastRow="0" w:firstColumn="0" w:lastColumn="0" w:oddVBand="0" w:evenVBand="0" w:oddHBand="1" w:evenHBand="0" w:firstRowFirstColumn="0" w:firstRowLastColumn="0" w:lastRowFirstColumn="0" w:lastRowLastColumn="0"/>
                  </w:pPr>
                  <w:r>
                    <w:t>154</w:t>
                  </w:r>
                </w:p>
              </w:tc>
              <w:tc>
                <w:tcPr>
                  <w:tcW w:w="2011" w:type="dxa"/>
                </w:tcPr>
                <w:p w14:paraId="1941D594" w14:textId="77777777" w:rsidR="00CD42F7" w:rsidRDefault="00CD42F7" w:rsidP="008C07CF">
                  <w:pPr>
                    <w:cnfStyle w:val="000000100000" w:firstRow="0" w:lastRow="0" w:firstColumn="0" w:lastColumn="0" w:oddVBand="0" w:evenVBand="0" w:oddHBand="1" w:evenHBand="0" w:firstRowFirstColumn="0" w:firstRowLastColumn="0" w:lastRowFirstColumn="0" w:lastRowLastColumn="0"/>
                  </w:pPr>
                  <w:r>
                    <w:t>28.21%</w:t>
                  </w:r>
                </w:p>
              </w:tc>
            </w:tr>
            <w:tr w:rsidR="00CD42F7" w14:paraId="6390595C" w14:textId="77777777" w:rsidTr="004F7623">
              <w:tc>
                <w:tcPr>
                  <w:cnfStyle w:val="001000000000" w:firstRow="0" w:lastRow="0" w:firstColumn="1" w:lastColumn="0" w:oddVBand="0" w:evenVBand="0" w:oddHBand="0" w:evenHBand="0" w:firstRowFirstColumn="0" w:firstRowLastColumn="0" w:lastRowFirstColumn="0" w:lastRowLastColumn="0"/>
                  <w:tcW w:w="5135" w:type="dxa"/>
                </w:tcPr>
                <w:p w14:paraId="01FE8953" w14:textId="77777777" w:rsidR="00CD42F7" w:rsidRPr="005F0E9B" w:rsidRDefault="00CD42F7" w:rsidP="008C07CF">
                  <w:r w:rsidRPr="005F0E9B">
                    <w:t>Business Skills</w:t>
                  </w:r>
                </w:p>
              </w:tc>
              <w:tc>
                <w:tcPr>
                  <w:tcW w:w="2126" w:type="dxa"/>
                </w:tcPr>
                <w:p w14:paraId="1CE6DD9E" w14:textId="77777777" w:rsidR="00CD42F7" w:rsidRDefault="00CD42F7" w:rsidP="008C07CF">
                  <w:pPr>
                    <w:cnfStyle w:val="000000000000" w:firstRow="0" w:lastRow="0" w:firstColumn="0" w:lastColumn="0" w:oddVBand="0" w:evenVBand="0" w:oddHBand="0" w:evenHBand="0" w:firstRowFirstColumn="0" w:firstRowLastColumn="0" w:lastRowFirstColumn="0" w:lastRowLastColumn="0"/>
                  </w:pPr>
                  <w:r>
                    <w:t>170</w:t>
                  </w:r>
                </w:p>
              </w:tc>
              <w:tc>
                <w:tcPr>
                  <w:tcW w:w="2011" w:type="dxa"/>
                </w:tcPr>
                <w:p w14:paraId="5FD0AD2C" w14:textId="77777777" w:rsidR="00CD42F7" w:rsidRDefault="00CD42F7" w:rsidP="008C07CF">
                  <w:pPr>
                    <w:cnfStyle w:val="000000000000" w:firstRow="0" w:lastRow="0" w:firstColumn="0" w:lastColumn="0" w:oddVBand="0" w:evenVBand="0" w:oddHBand="0" w:evenHBand="0" w:firstRowFirstColumn="0" w:firstRowLastColumn="0" w:lastRowFirstColumn="0" w:lastRowLastColumn="0"/>
                  </w:pPr>
                  <w:r>
                    <w:t>31.14%</w:t>
                  </w:r>
                </w:p>
              </w:tc>
            </w:tr>
            <w:tr w:rsidR="00CD42F7" w14:paraId="08FF7F8C" w14:textId="77777777" w:rsidTr="004F7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5" w:type="dxa"/>
                </w:tcPr>
                <w:p w14:paraId="33C0F93C" w14:textId="77777777" w:rsidR="00CD42F7" w:rsidRPr="005F0E9B" w:rsidRDefault="00CD42F7" w:rsidP="008C07CF">
                  <w:r w:rsidRPr="005F0E9B">
                    <w:t>Financial Management</w:t>
                  </w:r>
                </w:p>
              </w:tc>
              <w:tc>
                <w:tcPr>
                  <w:tcW w:w="2126" w:type="dxa"/>
                </w:tcPr>
                <w:p w14:paraId="0D265255" w14:textId="77777777" w:rsidR="00CD42F7" w:rsidRDefault="00CD42F7" w:rsidP="008C07CF">
                  <w:pPr>
                    <w:cnfStyle w:val="000000100000" w:firstRow="0" w:lastRow="0" w:firstColumn="0" w:lastColumn="0" w:oddVBand="0" w:evenVBand="0" w:oddHBand="1" w:evenHBand="0" w:firstRowFirstColumn="0" w:firstRowLastColumn="0" w:lastRowFirstColumn="0" w:lastRowLastColumn="0"/>
                  </w:pPr>
                  <w:r>
                    <w:t>114</w:t>
                  </w:r>
                </w:p>
              </w:tc>
              <w:tc>
                <w:tcPr>
                  <w:tcW w:w="2011" w:type="dxa"/>
                </w:tcPr>
                <w:p w14:paraId="12315110" w14:textId="77777777" w:rsidR="00CD42F7" w:rsidRDefault="00CD42F7" w:rsidP="008C07CF">
                  <w:pPr>
                    <w:cnfStyle w:val="000000100000" w:firstRow="0" w:lastRow="0" w:firstColumn="0" w:lastColumn="0" w:oddVBand="0" w:evenVBand="0" w:oddHBand="1" w:evenHBand="0" w:firstRowFirstColumn="0" w:firstRowLastColumn="0" w:lastRowFirstColumn="0" w:lastRowLastColumn="0"/>
                  </w:pPr>
                  <w:r>
                    <w:t>20.88%</w:t>
                  </w:r>
                </w:p>
              </w:tc>
            </w:tr>
            <w:tr w:rsidR="00CD42F7" w14:paraId="51AD000D" w14:textId="77777777" w:rsidTr="004F7623">
              <w:tc>
                <w:tcPr>
                  <w:cnfStyle w:val="001000000000" w:firstRow="0" w:lastRow="0" w:firstColumn="1" w:lastColumn="0" w:oddVBand="0" w:evenVBand="0" w:oddHBand="0" w:evenHBand="0" w:firstRowFirstColumn="0" w:firstRowLastColumn="0" w:lastRowFirstColumn="0" w:lastRowLastColumn="0"/>
                  <w:tcW w:w="5135" w:type="dxa"/>
                </w:tcPr>
                <w:p w14:paraId="4CCCE232" w14:textId="77777777" w:rsidR="00CD42F7" w:rsidRPr="005F0E9B" w:rsidRDefault="00CD42F7" w:rsidP="008C07CF">
                  <w:r w:rsidRPr="005F0E9B">
                    <w:t>Information, Communication and Technology (ICT)/Computer Skills</w:t>
                  </w:r>
                </w:p>
              </w:tc>
              <w:tc>
                <w:tcPr>
                  <w:tcW w:w="2126" w:type="dxa"/>
                </w:tcPr>
                <w:p w14:paraId="6B0E64D0" w14:textId="77777777" w:rsidR="00CD42F7" w:rsidRDefault="00CD42F7" w:rsidP="008C07CF">
                  <w:pPr>
                    <w:cnfStyle w:val="000000000000" w:firstRow="0" w:lastRow="0" w:firstColumn="0" w:lastColumn="0" w:oddVBand="0" w:evenVBand="0" w:oddHBand="0" w:evenHBand="0" w:firstRowFirstColumn="0" w:firstRowLastColumn="0" w:lastRowFirstColumn="0" w:lastRowLastColumn="0"/>
                  </w:pPr>
                  <w:r>
                    <w:t>34</w:t>
                  </w:r>
                </w:p>
              </w:tc>
              <w:tc>
                <w:tcPr>
                  <w:tcW w:w="2011" w:type="dxa"/>
                </w:tcPr>
                <w:p w14:paraId="223E78CC" w14:textId="77777777" w:rsidR="00CD42F7" w:rsidRDefault="00CD42F7" w:rsidP="008C07CF">
                  <w:pPr>
                    <w:cnfStyle w:val="000000000000" w:firstRow="0" w:lastRow="0" w:firstColumn="0" w:lastColumn="0" w:oddVBand="0" w:evenVBand="0" w:oddHBand="0" w:evenHBand="0" w:firstRowFirstColumn="0" w:firstRowLastColumn="0" w:lastRowFirstColumn="0" w:lastRowLastColumn="0"/>
                  </w:pPr>
                  <w:r>
                    <w:t>6.23%</w:t>
                  </w:r>
                </w:p>
              </w:tc>
            </w:tr>
            <w:tr w:rsidR="00CD42F7" w14:paraId="52626DD7" w14:textId="77777777" w:rsidTr="004F7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5" w:type="dxa"/>
                </w:tcPr>
                <w:p w14:paraId="74E7D9AC" w14:textId="77777777" w:rsidR="00CD42F7" w:rsidRPr="005F0E9B" w:rsidRDefault="00CD42F7" w:rsidP="008C07CF">
                  <w:r w:rsidRPr="005F0E9B">
                    <w:t>Marketing</w:t>
                  </w:r>
                </w:p>
              </w:tc>
              <w:tc>
                <w:tcPr>
                  <w:tcW w:w="2126" w:type="dxa"/>
                </w:tcPr>
                <w:p w14:paraId="7D968B59" w14:textId="77777777" w:rsidR="00CD42F7" w:rsidRDefault="00CD42F7" w:rsidP="008C07CF">
                  <w:pPr>
                    <w:cnfStyle w:val="000000100000" w:firstRow="0" w:lastRow="0" w:firstColumn="0" w:lastColumn="0" w:oddVBand="0" w:evenVBand="0" w:oddHBand="1" w:evenHBand="0" w:firstRowFirstColumn="0" w:firstRowLastColumn="0" w:lastRowFirstColumn="0" w:lastRowLastColumn="0"/>
                  </w:pPr>
                  <w:r>
                    <w:t>74</w:t>
                  </w:r>
                </w:p>
              </w:tc>
              <w:tc>
                <w:tcPr>
                  <w:tcW w:w="2011" w:type="dxa"/>
                </w:tcPr>
                <w:p w14:paraId="136CDCE1" w14:textId="77777777" w:rsidR="00CD42F7" w:rsidRDefault="00CD42F7" w:rsidP="008C07CF">
                  <w:pPr>
                    <w:cnfStyle w:val="000000100000" w:firstRow="0" w:lastRow="0" w:firstColumn="0" w:lastColumn="0" w:oddVBand="0" w:evenVBand="0" w:oddHBand="1" w:evenHBand="0" w:firstRowFirstColumn="0" w:firstRowLastColumn="0" w:lastRowFirstColumn="0" w:lastRowLastColumn="0"/>
                  </w:pPr>
                  <w:r>
                    <w:t>13.55</w:t>
                  </w:r>
                </w:p>
              </w:tc>
            </w:tr>
            <w:tr w:rsidR="00CD42F7" w14:paraId="6FD2B509" w14:textId="77777777" w:rsidTr="004F7623">
              <w:tc>
                <w:tcPr>
                  <w:cnfStyle w:val="001000000000" w:firstRow="0" w:lastRow="0" w:firstColumn="1" w:lastColumn="0" w:oddVBand="0" w:evenVBand="0" w:oddHBand="0" w:evenHBand="0" w:firstRowFirstColumn="0" w:firstRowLastColumn="0" w:lastRowFirstColumn="0" w:lastRowLastColumn="0"/>
                  <w:tcW w:w="5135" w:type="dxa"/>
                </w:tcPr>
                <w:p w14:paraId="251CC399" w14:textId="77777777" w:rsidR="00CD42F7" w:rsidRPr="005F0E9B" w:rsidRDefault="00CD42F7" w:rsidP="008C07CF">
                  <w:r w:rsidRPr="005F0E9B">
                    <w:t>Total</w:t>
                  </w:r>
                </w:p>
              </w:tc>
              <w:tc>
                <w:tcPr>
                  <w:tcW w:w="2126" w:type="dxa"/>
                </w:tcPr>
                <w:p w14:paraId="5B888D09" w14:textId="77777777" w:rsidR="00CD42F7" w:rsidRDefault="00CD42F7" w:rsidP="008C07CF">
                  <w:pPr>
                    <w:cnfStyle w:val="000000000000" w:firstRow="0" w:lastRow="0" w:firstColumn="0" w:lastColumn="0" w:oddVBand="0" w:evenVBand="0" w:oddHBand="0" w:evenHBand="0" w:firstRowFirstColumn="0" w:firstRowLastColumn="0" w:lastRowFirstColumn="0" w:lastRowLastColumn="0"/>
                  </w:pPr>
                  <w:r>
                    <w:t>546</w:t>
                  </w:r>
                </w:p>
              </w:tc>
              <w:tc>
                <w:tcPr>
                  <w:tcW w:w="2011" w:type="dxa"/>
                </w:tcPr>
                <w:p w14:paraId="209784E9" w14:textId="77777777" w:rsidR="00CD42F7" w:rsidRDefault="00CD42F7" w:rsidP="008C07CF">
                  <w:pPr>
                    <w:cnfStyle w:val="000000000000" w:firstRow="0" w:lastRow="0" w:firstColumn="0" w:lastColumn="0" w:oddVBand="0" w:evenVBand="0" w:oddHBand="0" w:evenHBand="0" w:firstRowFirstColumn="0" w:firstRowLastColumn="0" w:lastRowFirstColumn="0" w:lastRowLastColumn="0"/>
                  </w:pPr>
                  <w:r>
                    <w:t>100%</w:t>
                  </w:r>
                </w:p>
              </w:tc>
            </w:tr>
          </w:tbl>
          <w:p w14:paraId="017804AC" w14:textId="77777777" w:rsidR="00CD42F7" w:rsidRDefault="00CD42F7" w:rsidP="008C07CF">
            <w:r w:rsidRPr="005F0E9B">
              <w:t>Source: Integrated Strategy on the Development and Promotion of Cooperatives, (DTI, 2012</w:t>
            </w:r>
          </w:p>
          <w:p w14:paraId="7457EB43" w14:textId="73D96AC8" w:rsidR="00CD42F7" w:rsidRPr="00396F69" w:rsidRDefault="00CD42F7" w:rsidP="008C07CF">
            <w:pPr>
              <w:rPr>
                <w:rFonts w:eastAsia="Times New Roman"/>
                <w:b/>
                <w:i/>
                <w:lang w:val="en-ZA"/>
              </w:rPr>
            </w:pPr>
            <w:r>
              <w:t xml:space="preserve">According to DHET statistics (database), SETAs targeted 422 cooperatives </w:t>
            </w:r>
            <w:r w:rsidR="00DD73F3">
              <w:t xml:space="preserve">in 2010. </w:t>
            </w:r>
            <w:r>
              <w:t xml:space="preserve">By implication, SETAs fell short of their target by 64. </w:t>
            </w:r>
            <w:r w:rsidRPr="000537CC">
              <w:rPr>
                <w:b/>
              </w:rPr>
              <w:t xml:space="preserve">Table </w:t>
            </w:r>
            <w:r w:rsidR="00C56A20">
              <w:rPr>
                <w:b/>
              </w:rPr>
              <w:t>5</w:t>
            </w:r>
            <w:r>
              <w:t xml:space="preserve"> presents a breakdown of cooperatives targeted and supported by the SETAs.</w:t>
            </w:r>
          </w:p>
        </w:tc>
      </w:tr>
    </w:tbl>
    <w:p w14:paraId="7030287F" w14:textId="77777777" w:rsidR="00CD42F7" w:rsidRDefault="00CD42F7" w:rsidP="008C07CF"/>
    <w:tbl>
      <w:tblPr>
        <w:tblStyle w:val="TableGrid"/>
        <w:tblW w:w="9498" w:type="dxa"/>
        <w:tblInd w:w="108" w:type="dxa"/>
        <w:tblLook w:val="04A0" w:firstRow="1" w:lastRow="0" w:firstColumn="1" w:lastColumn="0" w:noHBand="0" w:noVBand="1"/>
      </w:tblPr>
      <w:tblGrid>
        <w:gridCol w:w="9498"/>
      </w:tblGrid>
      <w:tr w:rsidR="00707261" w:rsidRPr="00F47C02" w14:paraId="09F25725" w14:textId="77777777" w:rsidTr="00CD42F7">
        <w:trPr>
          <w:trHeight w:val="557"/>
        </w:trPr>
        <w:tc>
          <w:tcPr>
            <w:tcW w:w="9498" w:type="dxa"/>
          </w:tcPr>
          <w:p w14:paraId="028E7645" w14:textId="76E28293" w:rsidR="008F5CEE" w:rsidRPr="000537CC" w:rsidRDefault="008F5CEE" w:rsidP="008C07CF">
            <w:r w:rsidRPr="000537CC">
              <w:t xml:space="preserve">Table </w:t>
            </w:r>
            <w:r w:rsidR="00C56A20">
              <w:t>5</w:t>
            </w:r>
            <w:r w:rsidR="000836FA">
              <w:t>: Cooperatives supported by SETAs</w:t>
            </w:r>
          </w:p>
          <w:tbl>
            <w:tblPr>
              <w:tblStyle w:val="GridTable5Dark-Accent6"/>
              <w:tblW w:w="9246" w:type="dxa"/>
              <w:tblLook w:val="04A0" w:firstRow="1" w:lastRow="0" w:firstColumn="1" w:lastColumn="0" w:noHBand="0" w:noVBand="1"/>
            </w:tblPr>
            <w:tblGrid>
              <w:gridCol w:w="1803"/>
              <w:gridCol w:w="3332"/>
              <w:gridCol w:w="2126"/>
              <w:gridCol w:w="1985"/>
            </w:tblGrid>
            <w:tr w:rsidR="00192068" w:rsidRPr="00F068B2" w14:paraId="798859E8" w14:textId="77777777" w:rsidTr="001920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2E5BD85C" w14:textId="77777777" w:rsidR="00192068" w:rsidRPr="00F068B2" w:rsidRDefault="00192068" w:rsidP="008C07CF">
                  <w:r w:rsidRPr="00F068B2">
                    <w:t>SETA</w:t>
                  </w:r>
                </w:p>
              </w:tc>
              <w:tc>
                <w:tcPr>
                  <w:tcW w:w="3332" w:type="dxa"/>
                </w:tcPr>
                <w:p w14:paraId="14880A1C" w14:textId="77777777" w:rsidR="00192068" w:rsidRPr="00F068B2" w:rsidRDefault="00192068" w:rsidP="008C07CF">
                  <w:pPr>
                    <w:cnfStyle w:val="100000000000" w:firstRow="1" w:lastRow="0" w:firstColumn="0" w:lastColumn="0" w:oddVBand="0" w:evenVBand="0" w:oddHBand="0" w:evenHBand="0" w:firstRowFirstColumn="0" w:firstRowLastColumn="0" w:lastRowFirstColumn="0" w:lastRowLastColumn="0"/>
                  </w:pPr>
                  <w:r w:rsidRPr="00F068B2">
                    <w:t>TARGET</w:t>
                  </w:r>
                </w:p>
              </w:tc>
              <w:tc>
                <w:tcPr>
                  <w:tcW w:w="2126" w:type="dxa"/>
                </w:tcPr>
                <w:p w14:paraId="41F87FA1" w14:textId="77777777" w:rsidR="00192068" w:rsidRPr="00F068B2" w:rsidRDefault="0009795B" w:rsidP="008C07CF">
                  <w:pPr>
                    <w:cnfStyle w:val="100000000000" w:firstRow="1" w:lastRow="0" w:firstColumn="0" w:lastColumn="0" w:oddVBand="0" w:evenVBand="0" w:oddHBand="0" w:evenHBand="0" w:firstRowFirstColumn="0" w:firstRowLastColumn="0" w:lastRowFirstColumn="0" w:lastRowLastColumn="0"/>
                  </w:pPr>
                  <w:r>
                    <w:t>Actual</w:t>
                  </w:r>
                </w:p>
              </w:tc>
              <w:tc>
                <w:tcPr>
                  <w:tcW w:w="1985" w:type="dxa"/>
                </w:tcPr>
                <w:p w14:paraId="75452AD0" w14:textId="77777777" w:rsidR="00192068" w:rsidRPr="00F068B2" w:rsidRDefault="00192068" w:rsidP="008C07CF">
                  <w:pPr>
                    <w:cnfStyle w:val="100000000000" w:firstRow="1" w:lastRow="0" w:firstColumn="0" w:lastColumn="0" w:oddVBand="0" w:evenVBand="0" w:oddHBand="0" w:evenHBand="0" w:firstRowFirstColumn="0" w:firstRowLastColumn="0" w:lastRowFirstColumn="0" w:lastRowLastColumn="0"/>
                  </w:pPr>
                  <w:r w:rsidRPr="00F068B2">
                    <w:t>VARIANCE</w:t>
                  </w:r>
                </w:p>
              </w:tc>
            </w:tr>
            <w:tr w:rsidR="00192068" w:rsidRPr="00F068B2" w14:paraId="7D76AA14" w14:textId="77777777" w:rsidTr="00192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7EEE0C4B" w14:textId="77777777" w:rsidR="00192068" w:rsidRPr="00F068B2" w:rsidRDefault="00192068" w:rsidP="008C07CF">
                  <w:r w:rsidRPr="00F068B2">
                    <w:t>FASSET</w:t>
                  </w:r>
                </w:p>
              </w:tc>
              <w:tc>
                <w:tcPr>
                  <w:tcW w:w="3332" w:type="dxa"/>
                </w:tcPr>
                <w:p w14:paraId="0D5A928F" w14:textId="77777777" w:rsidR="00192068" w:rsidRPr="00F068B2" w:rsidRDefault="00192068" w:rsidP="008C07CF">
                  <w:pPr>
                    <w:cnfStyle w:val="000000100000" w:firstRow="0" w:lastRow="0" w:firstColumn="0" w:lastColumn="0" w:oddVBand="0" w:evenVBand="0" w:oddHBand="1" w:evenHBand="0" w:firstRowFirstColumn="0" w:firstRowLastColumn="0" w:lastRowFirstColumn="0" w:lastRowLastColumn="0"/>
                  </w:pPr>
                  <w:r w:rsidRPr="00F068B2">
                    <w:t>0</w:t>
                  </w:r>
                </w:p>
              </w:tc>
              <w:tc>
                <w:tcPr>
                  <w:tcW w:w="2126" w:type="dxa"/>
                </w:tcPr>
                <w:p w14:paraId="66B52E6C" w14:textId="77777777" w:rsidR="00192068" w:rsidRPr="0009795B" w:rsidRDefault="00192068" w:rsidP="008C07CF">
                  <w:pPr>
                    <w:cnfStyle w:val="000000100000" w:firstRow="0" w:lastRow="0" w:firstColumn="0" w:lastColumn="0" w:oddVBand="0" w:evenVBand="0" w:oddHBand="1" w:evenHBand="0" w:firstRowFirstColumn="0" w:firstRowLastColumn="0" w:lastRowFirstColumn="0" w:lastRowLastColumn="0"/>
                  </w:pPr>
                  <w:r w:rsidRPr="0009795B">
                    <w:t>0</w:t>
                  </w:r>
                </w:p>
              </w:tc>
              <w:tc>
                <w:tcPr>
                  <w:tcW w:w="1985" w:type="dxa"/>
                </w:tcPr>
                <w:p w14:paraId="4FC2C119" w14:textId="77777777" w:rsidR="00192068" w:rsidRPr="00F068B2" w:rsidRDefault="00192068" w:rsidP="008C07CF">
                  <w:pPr>
                    <w:cnfStyle w:val="000000100000" w:firstRow="0" w:lastRow="0" w:firstColumn="0" w:lastColumn="0" w:oddVBand="0" w:evenVBand="0" w:oddHBand="1" w:evenHBand="0" w:firstRowFirstColumn="0" w:firstRowLastColumn="0" w:lastRowFirstColumn="0" w:lastRowLastColumn="0"/>
                  </w:pPr>
                  <w:r w:rsidRPr="00F068B2">
                    <w:t>0</w:t>
                  </w:r>
                </w:p>
              </w:tc>
            </w:tr>
            <w:tr w:rsidR="00192068" w:rsidRPr="00F068B2" w14:paraId="15266547" w14:textId="77777777" w:rsidTr="00192068">
              <w:tc>
                <w:tcPr>
                  <w:cnfStyle w:val="001000000000" w:firstRow="0" w:lastRow="0" w:firstColumn="1" w:lastColumn="0" w:oddVBand="0" w:evenVBand="0" w:oddHBand="0" w:evenHBand="0" w:firstRowFirstColumn="0" w:firstRowLastColumn="0" w:lastRowFirstColumn="0" w:lastRowLastColumn="0"/>
                  <w:tcW w:w="1803" w:type="dxa"/>
                </w:tcPr>
                <w:p w14:paraId="4C67C4D7" w14:textId="77777777" w:rsidR="00192068" w:rsidRPr="00F068B2" w:rsidRDefault="00192068" w:rsidP="008C07CF">
                  <w:r w:rsidRPr="00F068B2">
                    <w:t>BANKSETA</w:t>
                  </w:r>
                </w:p>
              </w:tc>
              <w:tc>
                <w:tcPr>
                  <w:tcW w:w="3332" w:type="dxa"/>
                </w:tcPr>
                <w:p w14:paraId="43F74472" w14:textId="77777777" w:rsidR="00192068" w:rsidRPr="00F068B2" w:rsidRDefault="00192068" w:rsidP="008C07CF">
                  <w:pPr>
                    <w:cnfStyle w:val="000000000000" w:firstRow="0" w:lastRow="0" w:firstColumn="0" w:lastColumn="0" w:oddVBand="0" w:evenVBand="0" w:oddHBand="0" w:evenHBand="0" w:firstRowFirstColumn="0" w:firstRowLastColumn="0" w:lastRowFirstColumn="0" w:lastRowLastColumn="0"/>
                  </w:pPr>
                  <w:r w:rsidRPr="00F068B2">
                    <w:t>5</w:t>
                  </w:r>
                </w:p>
              </w:tc>
              <w:tc>
                <w:tcPr>
                  <w:tcW w:w="2126" w:type="dxa"/>
                </w:tcPr>
                <w:p w14:paraId="0009A92D" w14:textId="77777777" w:rsidR="00192068" w:rsidRPr="0009795B" w:rsidRDefault="00192068" w:rsidP="008C07CF">
                  <w:pPr>
                    <w:cnfStyle w:val="000000000000" w:firstRow="0" w:lastRow="0" w:firstColumn="0" w:lastColumn="0" w:oddVBand="0" w:evenVBand="0" w:oddHBand="0" w:evenHBand="0" w:firstRowFirstColumn="0" w:firstRowLastColumn="0" w:lastRowFirstColumn="0" w:lastRowLastColumn="0"/>
                  </w:pPr>
                  <w:r w:rsidRPr="0009795B">
                    <w:t>24</w:t>
                  </w:r>
                </w:p>
              </w:tc>
              <w:tc>
                <w:tcPr>
                  <w:tcW w:w="1985" w:type="dxa"/>
                </w:tcPr>
                <w:p w14:paraId="0DABDC12" w14:textId="77777777" w:rsidR="00192068" w:rsidRPr="00F068B2" w:rsidRDefault="00192068" w:rsidP="008C07CF">
                  <w:pPr>
                    <w:cnfStyle w:val="000000000000" w:firstRow="0" w:lastRow="0" w:firstColumn="0" w:lastColumn="0" w:oddVBand="0" w:evenVBand="0" w:oddHBand="0" w:evenHBand="0" w:firstRowFirstColumn="0" w:firstRowLastColumn="0" w:lastRowFirstColumn="0" w:lastRowLastColumn="0"/>
                  </w:pPr>
                  <w:r w:rsidRPr="00F068B2">
                    <w:t>19</w:t>
                  </w:r>
                </w:p>
              </w:tc>
            </w:tr>
            <w:tr w:rsidR="00192068" w:rsidRPr="00F068B2" w14:paraId="406E89F9" w14:textId="77777777" w:rsidTr="00192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7D08018A" w14:textId="77777777" w:rsidR="00192068" w:rsidRPr="00F068B2" w:rsidRDefault="00192068" w:rsidP="008C07CF">
                  <w:r w:rsidRPr="00F068B2">
                    <w:t>CHIETA</w:t>
                  </w:r>
                </w:p>
              </w:tc>
              <w:tc>
                <w:tcPr>
                  <w:tcW w:w="3332" w:type="dxa"/>
                </w:tcPr>
                <w:p w14:paraId="37301459" w14:textId="77777777" w:rsidR="00192068" w:rsidRPr="00F068B2" w:rsidRDefault="00192068" w:rsidP="008C07CF">
                  <w:pPr>
                    <w:cnfStyle w:val="000000100000" w:firstRow="0" w:lastRow="0" w:firstColumn="0" w:lastColumn="0" w:oddVBand="0" w:evenVBand="0" w:oddHBand="1" w:evenHBand="0" w:firstRowFirstColumn="0" w:firstRowLastColumn="0" w:lastRowFirstColumn="0" w:lastRowLastColumn="0"/>
                  </w:pPr>
                  <w:r w:rsidRPr="00F068B2">
                    <w:t>20</w:t>
                  </w:r>
                </w:p>
              </w:tc>
              <w:tc>
                <w:tcPr>
                  <w:tcW w:w="2126" w:type="dxa"/>
                </w:tcPr>
                <w:p w14:paraId="4A895C7E" w14:textId="77777777" w:rsidR="00192068" w:rsidRPr="0009795B" w:rsidRDefault="00192068" w:rsidP="008C07CF">
                  <w:pPr>
                    <w:cnfStyle w:val="000000100000" w:firstRow="0" w:lastRow="0" w:firstColumn="0" w:lastColumn="0" w:oddVBand="0" w:evenVBand="0" w:oddHBand="1" w:evenHBand="0" w:firstRowFirstColumn="0" w:firstRowLastColumn="0" w:lastRowFirstColumn="0" w:lastRowLastColumn="0"/>
                  </w:pPr>
                  <w:r w:rsidRPr="0009795B">
                    <w:t>0</w:t>
                  </w:r>
                </w:p>
              </w:tc>
              <w:tc>
                <w:tcPr>
                  <w:tcW w:w="1985" w:type="dxa"/>
                </w:tcPr>
                <w:p w14:paraId="12AE3687" w14:textId="77777777" w:rsidR="00192068" w:rsidRPr="00F068B2" w:rsidRDefault="00192068" w:rsidP="008C07CF">
                  <w:pPr>
                    <w:cnfStyle w:val="000000100000" w:firstRow="0" w:lastRow="0" w:firstColumn="0" w:lastColumn="0" w:oddVBand="0" w:evenVBand="0" w:oddHBand="1" w:evenHBand="0" w:firstRowFirstColumn="0" w:firstRowLastColumn="0" w:lastRowFirstColumn="0" w:lastRowLastColumn="0"/>
                  </w:pPr>
                  <w:r w:rsidRPr="00F068B2">
                    <w:t>-20</w:t>
                  </w:r>
                </w:p>
              </w:tc>
            </w:tr>
            <w:tr w:rsidR="00192068" w:rsidRPr="00F068B2" w14:paraId="4AFD3F34" w14:textId="77777777" w:rsidTr="00192068">
              <w:tc>
                <w:tcPr>
                  <w:cnfStyle w:val="001000000000" w:firstRow="0" w:lastRow="0" w:firstColumn="1" w:lastColumn="0" w:oddVBand="0" w:evenVBand="0" w:oddHBand="0" w:evenHBand="0" w:firstRowFirstColumn="0" w:firstRowLastColumn="0" w:lastRowFirstColumn="0" w:lastRowLastColumn="0"/>
                  <w:tcW w:w="1803" w:type="dxa"/>
                </w:tcPr>
                <w:p w14:paraId="6BAFE062" w14:textId="77777777" w:rsidR="00192068" w:rsidRPr="00F068B2" w:rsidRDefault="00192068" w:rsidP="008C07CF">
                  <w:r w:rsidRPr="00F068B2">
                    <w:t>CTFL</w:t>
                  </w:r>
                </w:p>
              </w:tc>
              <w:tc>
                <w:tcPr>
                  <w:tcW w:w="3332" w:type="dxa"/>
                </w:tcPr>
                <w:p w14:paraId="55400204" w14:textId="77777777" w:rsidR="00192068" w:rsidRPr="00F068B2" w:rsidRDefault="00192068" w:rsidP="008C07CF">
                  <w:pPr>
                    <w:cnfStyle w:val="000000000000" w:firstRow="0" w:lastRow="0" w:firstColumn="0" w:lastColumn="0" w:oddVBand="0" w:evenVBand="0" w:oddHBand="0" w:evenHBand="0" w:firstRowFirstColumn="0" w:firstRowLastColumn="0" w:lastRowFirstColumn="0" w:lastRowLastColumn="0"/>
                  </w:pPr>
                  <w:r w:rsidRPr="00F068B2">
                    <w:t>0</w:t>
                  </w:r>
                </w:p>
              </w:tc>
              <w:tc>
                <w:tcPr>
                  <w:tcW w:w="2126" w:type="dxa"/>
                </w:tcPr>
                <w:p w14:paraId="139A3B62" w14:textId="77777777" w:rsidR="00192068" w:rsidRPr="0009795B" w:rsidRDefault="00192068" w:rsidP="008C07CF">
                  <w:pPr>
                    <w:cnfStyle w:val="000000000000" w:firstRow="0" w:lastRow="0" w:firstColumn="0" w:lastColumn="0" w:oddVBand="0" w:evenVBand="0" w:oddHBand="0" w:evenHBand="0" w:firstRowFirstColumn="0" w:firstRowLastColumn="0" w:lastRowFirstColumn="0" w:lastRowLastColumn="0"/>
                  </w:pPr>
                  <w:r w:rsidRPr="0009795B">
                    <w:t>0</w:t>
                  </w:r>
                </w:p>
              </w:tc>
              <w:tc>
                <w:tcPr>
                  <w:tcW w:w="1985" w:type="dxa"/>
                </w:tcPr>
                <w:p w14:paraId="1EE4CF9B" w14:textId="77777777" w:rsidR="00192068" w:rsidRPr="00F068B2" w:rsidRDefault="00192068" w:rsidP="008C07CF">
                  <w:pPr>
                    <w:cnfStyle w:val="000000000000" w:firstRow="0" w:lastRow="0" w:firstColumn="0" w:lastColumn="0" w:oddVBand="0" w:evenVBand="0" w:oddHBand="0" w:evenHBand="0" w:firstRowFirstColumn="0" w:firstRowLastColumn="0" w:lastRowFirstColumn="0" w:lastRowLastColumn="0"/>
                  </w:pPr>
                  <w:r w:rsidRPr="00F068B2">
                    <w:t>0</w:t>
                  </w:r>
                </w:p>
              </w:tc>
            </w:tr>
            <w:tr w:rsidR="00192068" w:rsidRPr="00F068B2" w14:paraId="3FD970FE" w14:textId="77777777" w:rsidTr="00192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706E9C2F" w14:textId="77777777" w:rsidR="00192068" w:rsidRPr="00F068B2" w:rsidRDefault="00192068" w:rsidP="008C07CF">
                  <w:r w:rsidRPr="00F068B2">
                    <w:t>CETA</w:t>
                  </w:r>
                </w:p>
              </w:tc>
              <w:tc>
                <w:tcPr>
                  <w:tcW w:w="3332" w:type="dxa"/>
                </w:tcPr>
                <w:p w14:paraId="5E6A9F4C" w14:textId="77777777" w:rsidR="00192068" w:rsidRPr="00F068B2" w:rsidRDefault="00192068" w:rsidP="008C07CF">
                  <w:pPr>
                    <w:cnfStyle w:val="000000100000" w:firstRow="0" w:lastRow="0" w:firstColumn="0" w:lastColumn="0" w:oddVBand="0" w:evenVBand="0" w:oddHBand="1" w:evenHBand="0" w:firstRowFirstColumn="0" w:firstRowLastColumn="0" w:lastRowFirstColumn="0" w:lastRowLastColumn="0"/>
                  </w:pPr>
                  <w:r w:rsidRPr="00F068B2">
                    <w:t>100</w:t>
                  </w:r>
                </w:p>
              </w:tc>
              <w:tc>
                <w:tcPr>
                  <w:tcW w:w="2126" w:type="dxa"/>
                </w:tcPr>
                <w:p w14:paraId="3B6E19ED" w14:textId="77777777" w:rsidR="00192068" w:rsidRPr="0009795B" w:rsidRDefault="00192068" w:rsidP="008C07CF">
                  <w:pPr>
                    <w:cnfStyle w:val="000000100000" w:firstRow="0" w:lastRow="0" w:firstColumn="0" w:lastColumn="0" w:oddVBand="0" w:evenVBand="0" w:oddHBand="1" w:evenHBand="0" w:firstRowFirstColumn="0" w:firstRowLastColumn="0" w:lastRowFirstColumn="0" w:lastRowLastColumn="0"/>
                  </w:pPr>
                  <w:r w:rsidRPr="0009795B">
                    <w:t>2</w:t>
                  </w:r>
                </w:p>
              </w:tc>
              <w:tc>
                <w:tcPr>
                  <w:tcW w:w="1985" w:type="dxa"/>
                </w:tcPr>
                <w:p w14:paraId="09E5617B" w14:textId="77777777" w:rsidR="00192068" w:rsidRPr="00F068B2" w:rsidRDefault="00192068" w:rsidP="008C07CF">
                  <w:pPr>
                    <w:cnfStyle w:val="000000100000" w:firstRow="0" w:lastRow="0" w:firstColumn="0" w:lastColumn="0" w:oddVBand="0" w:evenVBand="0" w:oddHBand="1" w:evenHBand="0" w:firstRowFirstColumn="0" w:firstRowLastColumn="0" w:lastRowFirstColumn="0" w:lastRowLastColumn="0"/>
                  </w:pPr>
                  <w:r w:rsidRPr="00F068B2">
                    <w:t>-98</w:t>
                  </w:r>
                </w:p>
              </w:tc>
            </w:tr>
            <w:tr w:rsidR="00192068" w:rsidRPr="00F068B2" w14:paraId="016B5DB3" w14:textId="77777777" w:rsidTr="00192068">
              <w:tc>
                <w:tcPr>
                  <w:cnfStyle w:val="001000000000" w:firstRow="0" w:lastRow="0" w:firstColumn="1" w:lastColumn="0" w:oddVBand="0" w:evenVBand="0" w:oddHBand="0" w:evenHBand="0" w:firstRowFirstColumn="0" w:firstRowLastColumn="0" w:lastRowFirstColumn="0" w:lastRowLastColumn="0"/>
                  <w:tcW w:w="1803" w:type="dxa"/>
                </w:tcPr>
                <w:p w14:paraId="13D09ACA" w14:textId="77777777" w:rsidR="00192068" w:rsidRPr="00F068B2" w:rsidRDefault="00192068" w:rsidP="008C07CF">
                  <w:r w:rsidRPr="00F068B2">
                    <w:t>ETDPSETA</w:t>
                  </w:r>
                </w:p>
              </w:tc>
              <w:tc>
                <w:tcPr>
                  <w:tcW w:w="3332" w:type="dxa"/>
                </w:tcPr>
                <w:p w14:paraId="44CEFB0B" w14:textId="77777777" w:rsidR="00192068" w:rsidRPr="00F068B2" w:rsidRDefault="00192068" w:rsidP="008C07CF">
                  <w:pPr>
                    <w:cnfStyle w:val="000000000000" w:firstRow="0" w:lastRow="0" w:firstColumn="0" w:lastColumn="0" w:oddVBand="0" w:evenVBand="0" w:oddHBand="0" w:evenHBand="0" w:firstRowFirstColumn="0" w:firstRowLastColumn="0" w:lastRowFirstColumn="0" w:lastRowLastColumn="0"/>
                  </w:pPr>
                  <w:r w:rsidRPr="00F068B2">
                    <w:t>12</w:t>
                  </w:r>
                </w:p>
              </w:tc>
              <w:tc>
                <w:tcPr>
                  <w:tcW w:w="2126" w:type="dxa"/>
                </w:tcPr>
                <w:p w14:paraId="5381AFA9" w14:textId="77777777" w:rsidR="00192068" w:rsidRPr="0009795B" w:rsidRDefault="00192068" w:rsidP="008C07CF">
                  <w:pPr>
                    <w:cnfStyle w:val="000000000000" w:firstRow="0" w:lastRow="0" w:firstColumn="0" w:lastColumn="0" w:oddVBand="0" w:evenVBand="0" w:oddHBand="0" w:evenHBand="0" w:firstRowFirstColumn="0" w:firstRowLastColumn="0" w:lastRowFirstColumn="0" w:lastRowLastColumn="0"/>
                  </w:pPr>
                  <w:r w:rsidRPr="0009795B">
                    <w:t>0</w:t>
                  </w:r>
                </w:p>
              </w:tc>
              <w:tc>
                <w:tcPr>
                  <w:tcW w:w="1985" w:type="dxa"/>
                </w:tcPr>
                <w:p w14:paraId="313CB7FE" w14:textId="77777777" w:rsidR="00192068" w:rsidRPr="00F068B2" w:rsidRDefault="00192068" w:rsidP="008C07CF">
                  <w:pPr>
                    <w:cnfStyle w:val="000000000000" w:firstRow="0" w:lastRow="0" w:firstColumn="0" w:lastColumn="0" w:oddVBand="0" w:evenVBand="0" w:oddHBand="0" w:evenHBand="0" w:firstRowFirstColumn="0" w:firstRowLastColumn="0" w:lastRowFirstColumn="0" w:lastRowLastColumn="0"/>
                  </w:pPr>
                  <w:r w:rsidRPr="00F068B2">
                    <w:t>-12</w:t>
                  </w:r>
                </w:p>
              </w:tc>
            </w:tr>
            <w:tr w:rsidR="00192068" w:rsidRPr="00F068B2" w14:paraId="426C7B55" w14:textId="77777777" w:rsidTr="00192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0EF64803" w14:textId="77777777" w:rsidR="00192068" w:rsidRPr="00F068B2" w:rsidRDefault="00192068" w:rsidP="008C07CF">
                  <w:r w:rsidRPr="00F068B2">
                    <w:t>ESETA</w:t>
                  </w:r>
                </w:p>
              </w:tc>
              <w:tc>
                <w:tcPr>
                  <w:tcW w:w="3332" w:type="dxa"/>
                </w:tcPr>
                <w:p w14:paraId="19356679" w14:textId="77777777" w:rsidR="00192068" w:rsidRPr="00F068B2" w:rsidRDefault="00192068" w:rsidP="008C07CF">
                  <w:pPr>
                    <w:cnfStyle w:val="000000100000" w:firstRow="0" w:lastRow="0" w:firstColumn="0" w:lastColumn="0" w:oddVBand="0" w:evenVBand="0" w:oddHBand="1" w:evenHBand="0" w:firstRowFirstColumn="0" w:firstRowLastColumn="0" w:lastRowFirstColumn="0" w:lastRowLastColumn="0"/>
                  </w:pPr>
                  <w:r w:rsidRPr="00F068B2">
                    <w:t>30</w:t>
                  </w:r>
                </w:p>
              </w:tc>
              <w:tc>
                <w:tcPr>
                  <w:tcW w:w="2126" w:type="dxa"/>
                </w:tcPr>
                <w:p w14:paraId="30A8E498" w14:textId="77777777" w:rsidR="00192068" w:rsidRPr="0009795B" w:rsidRDefault="00192068" w:rsidP="008C07CF">
                  <w:pPr>
                    <w:cnfStyle w:val="000000100000" w:firstRow="0" w:lastRow="0" w:firstColumn="0" w:lastColumn="0" w:oddVBand="0" w:evenVBand="0" w:oddHBand="1" w:evenHBand="0" w:firstRowFirstColumn="0" w:firstRowLastColumn="0" w:lastRowFirstColumn="0" w:lastRowLastColumn="0"/>
                  </w:pPr>
                  <w:r w:rsidRPr="0009795B">
                    <w:t>0</w:t>
                  </w:r>
                </w:p>
              </w:tc>
              <w:tc>
                <w:tcPr>
                  <w:tcW w:w="1985" w:type="dxa"/>
                </w:tcPr>
                <w:p w14:paraId="5A5678FD" w14:textId="77777777" w:rsidR="00192068" w:rsidRPr="00F068B2" w:rsidRDefault="00192068" w:rsidP="008C07CF">
                  <w:pPr>
                    <w:cnfStyle w:val="000000100000" w:firstRow="0" w:lastRow="0" w:firstColumn="0" w:lastColumn="0" w:oddVBand="0" w:evenVBand="0" w:oddHBand="1" w:evenHBand="0" w:firstRowFirstColumn="0" w:firstRowLastColumn="0" w:lastRowFirstColumn="0" w:lastRowLastColumn="0"/>
                  </w:pPr>
                  <w:r w:rsidRPr="00F068B2">
                    <w:t>-30</w:t>
                  </w:r>
                </w:p>
              </w:tc>
            </w:tr>
            <w:tr w:rsidR="00192068" w:rsidRPr="00F068B2" w14:paraId="433D7A81" w14:textId="77777777" w:rsidTr="00192068">
              <w:tc>
                <w:tcPr>
                  <w:cnfStyle w:val="001000000000" w:firstRow="0" w:lastRow="0" w:firstColumn="1" w:lastColumn="0" w:oddVBand="0" w:evenVBand="0" w:oddHBand="0" w:evenHBand="0" w:firstRowFirstColumn="0" w:firstRowLastColumn="0" w:lastRowFirstColumn="0" w:lastRowLastColumn="0"/>
                  <w:tcW w:w="1803" w:type="dxa"/>
                </w:tcPr>
                <w:p w14:paraId="56C43FF3" w14:textId="77777777" w:rsidR="00192068" w:rsidRPr="00F068B2" w:rsidRDefault="00192068" w:rsidP="008C07CF">
                  <w:r w:rsidRPr="00F068B2">
                    <w:t>FOODBEV</w:t>
                  </w:r>
                </w:p>
              </w:tc>
              <w:tc>
                <w:tcPr>
                  <w:tcW w:w="3332" w:type="dxa"/>
                </w:tcPr>
                <w:p w14:paraId="41D61F79" w14:textId="77777777" w:rsidR="00192068" w:rsidRPr="00F068B2" w:rsidRDefault="00192068" w:rsidP="008C07CF">
                  <w:pPr>
                    <w:cnfStyle w:val="000000000000" w:firstRow="0" w:lastRow="0" w:firstColumn="0" w:lastColumn="0" w:oddVBand="0" w:evenVBand="0" w:oddHBand="0" w:evenHBand="0" w:firstRowFirstColumn="0" w:firstRowLastColumn="0" w:lastRowFirstColumn="0" w:lastRowLastColumn="0"/>
                  </w:pPr>
                  <w:r w:rsidRPr="00F068B2">
                    <w:t>0</w:t>
                  </w:r>
                </w:p>
              </w:tc>
              <w:tc>
                <w:tcPr>
                  <w:tcW w:w="2126" w:type="dxa"/>
                </w:tcPr>
                <w:p w14:paraId="4E8248C3" w14:textId="77777777" w:rsidR="00192068" w:rsidRPr="0009795B" w:rsidRDefault="00192068" w:rsidP="008C07CF">
                  <w:pPr>
                    <w:cnfStyle w:val="000000000000" w:firstRow="0" w:lastRow="0" w:firstColumn="0" w:lastColumn="0" w:oddVBand="0" w:evenVBand="0" w:oddHBand="0" w:evenHBand="0" w:firstRowFirstColumn="0" w:firstRowLastColumn="0" w:lastRowFirstColumn="0" w:lastRowLastColumn="0"/>
                  </w:pPr>
                  <w:r w:rsidRPr="0009795B">
                    <w:t>0</w:t>
                  </w:r>
                </w:p>
              </w:tc>
              <w:tc>
                <w:tcPr>
                  <w:tcW w:w="1985" w:type="dxa"/>
                </w:tcPr>
                <w:p w14:paraId="772E3894" w14:textId="77777777" w:rsidR="00192068" w:rsidRPr="00F068B2" w:rsidRDefault="00192068" w:rsidP="008C07CF">
                  <w:pPr>
                    <w:cnfStyle w:val="000000000000" w:firstRow="0" w:lastRow="0" w:firstColumn="0" w:lastColumn="0" w:oddVBand="0" w:evenVBand="0" w:oddHBand="0" w:evenHBand="0" w:firstRowFirstColumn="0" w:firstRowLastColumn="0" w:lastRowFirstColumn="0" w:lastRowLastColumn="0"/>
                  </w:pPr>
                  <w:r w:rsidRPr="00F068B2">
                    <w:t>0</w:t>
                  </w:r>
                </w:p>
              </w:tc>
            </w:tr>
            <w:tr w:rsidR="00192068" w:rsidRPr="00F068B2" w14:paraId="1A69AD86" w14:textId="77777777" w:rsidTr="00192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289180B4" w14:textId="77777777" w:rsidR="00192068" w:rsidRPr="00F068B2" w:rsidRDefault="00192068" w:rsidP="008C07CF">
                  <w:r w:rsidRPr="00F068B2">
                    <w:t>FIETA</w:t>
                  </w:r>
                </w:p>
              </w:tc>
              <w:tc>
                <w:tcPr>
                  <w:tcW w:w="3332" w:type="dxa"/>
                </w:tcPr>
                <w:p w14:paraId="71034B0F" w14:textId="77777777" w:rsidR="00192068" w:rsidRPr="00F068B2" w:rsidRDefault="00192068" w:rsidP="008C07CF">
                  <w:pPr>
                    <w:cnfStyle w:val="000000100000" w:firstRow="0" w:lastRow="0" w:firstColumn="0" w:lastColumn="0" w:oddVBand="0" w:evenVBand="0" w:oddHBand="1" w:evenHBand="0" w:firstRowFirstColumn="0" w:firstRowLastColumn="0" w:lastRowFirstColumn="0" w:lastRowLastColumn="0"/>
                  </w:pPr>
                  <w:r w:rsidRPr="00F068B2">
                    <w:t>15</w:t>
                  </w:r>
                </w:p>
              </w:tc>
              <w:tc>
                <w:tcPr>
                  <w:tcW w:w="2126" w:type="dxa"/>
                </w:tcPr>
                <w:p w14:paraId="26637E34" w14:textId="77777777" w:rsidR="00192068" w:rsidRPr="0009795B" w:rsidRDefault="00192068" w:rsidP="008C07CF">
                  <w:pPr>
                    <w:cnfStyle w:val="000000100000" w:firstRow="0" w:lastRow="0" w:firstColumn="0" w:lastColumn="0" w:oddVBand="0" w:evenVBand="0" w:oddHBand="1" w:evenHBand="0" w:firstRowFirstColumn="0" w:firstRowLastColumn="0" w:lastRowFirstColumn="0" w:lastRowLastColumn="0"/>
                  </w:pPr>
                  <w:r w:rsidRPr="0009795B">
                    <w:t>3</w:t>
                  </w:r>
                </w:p>
              </w:tc>
              <w:tc>
                <w:tcPr>
                  <w:tcW w:w="1985" w:type="dxa"/>
                </w:tcPr>
                <w:p w14:paraId="51ED5F31" w14:textId="77777777" w:rsidR="00192068" w:rsidRPr="00F068B2" w:rsidRDefault="00192068" w:rsidP="008C07CF">
                  <w:pPr>
                    <w:cnfStyle w:val="000000100000" w:firstRow="0" w:lastRow="0" w:firstColumn="0" w:lastColumn="0" w:oddVBand="0" w:evenVBand="0" w:oddHBand="1" w:evenHBand="0" w:firstRowFirstColumn="0" w:firstRowLastColumn="0" w:lastRowFirstColumn="0" w:lastRowLastColumn="0"/>
                  </w:pPr>
                  <w:r w:rsidRPr="00F068B2">
                    <w:t>-12</w:t>
                  </w:r>
                </w:p>
              </w:tc>
            </w:tr>
            <w:tr w:rsidR="00192068" w:rsidRPr="00F068B2" w14:paraId="7F65CCB8" w14:textId="77777777" w:rsidTr="00192068">
              <w:tc>
                <w:tcPr>
                  <w:cnfStyle w:val="001000000000" w:firstRow="0" w:lastRow="0" w:firstColumn="1" w:lastColumn="0" w:oddVBand="0" w:evenVBand="0" w:oddHBand="0" w:evenHBand="0" w:firstRowFirstColumn="0" w:firstRowLastColumn="0" w:lastRowFirstColumn="0" w:lastRowLastColumn="0"/>
                  <w:tcW w:w="1803" w:type="dxa"/>
                </w:tcPr>
                <w:p w14:paraId="6332B589" w14:textId="77777777" w:rsidR="00192068" w:rsidRPr="00F068B2" w:rsidRDefault="00192068" w:rsidP="008C07CF">
                  <w:r w:rsidRPr="00F068B2">
                    <w:t>HWSETA</w:t>
                  </w:r>
                </w:p>
              </w:tc>
              <w:tc>
                <w:tcPr>
                  <w:tcW w:w="3332" w:type="dxa"/>
                </w:tcPr>
                <w:p w14:paraId="2B6B2A07" w14:textId="77777777" w:rsidR="00192068" w:rsidRPr="00F068B2" w:rsidRDefault="00192068" w:rsidP="008C07CF">
                  <w:pPr>
                    <w:cnfStyle w:val="000000000000" w:firstRow="0" w:lastRow="0" w:firstColumn="0" w:lastColumn="0" w:oddVBand="0" w:evenVBand="0" w:oddHBand="0" w:evenHBand="0" w:firstRowFirstColumn="0" w:firstRowLastColumn="0" w:lastRowFirstColumn="0" w:lastRowLastColumn="0"/>
                  </w:pPr>
                  <w:r w:rsidRPr="00F068B2">
                    <w:t>10</w:t>
                  </w:r>
                </w:p>
              </w:tc>
              <w:tc>
                <w:tcPr>
                  <w:tcW w:w="2126" w:type="dxa"/>
                </w:tcPr>
                <w:p w14:paraId="49381F8A" w14:textId="77777777" w:rsidR="00192068" w:rsidRPr="0009795B" w:rsidRDefault="00192068" w:rsidP="008C07CF">
                  <w:pPr>
                    <w:cnfStyle w:val="000000000000" w:firstRow="0" w:lastRow="0" w:firstColumn="0" w:lastColumn="0" w:oddVBand="0" w:evenVBand="0" w:oddHBand="0" w:evenHBand="0" w:firstRowFirstColumn="0" w:firstRowLastColumn="0" w:lastRowFirstColumn="0" w:lastRowLastColumn="0"/>
                  </w:pPr>
                  <w:r w:rsidRPr="0009795B">
                    <w:t>0</w:t>
                  </w:r>
                </w:p>
              </w:tc>
              <w:tc>
                <w:tcPr>
                  <w:tcW w:w="1985" w:type="dxa"/>
                </w:tcPr>
                <w:p w14:paraId="091ED88A" w14:textId="77777777" w:rsidR="00192068" w:rsidRPr="00F068B2" w:rsidRDefault="00192068" w:rsidP="008C07CF">
                  <w:pPr>
                    <w:cnfStyle w:val="000000000000" w:firstRow="0" w:lastRow="0" w:firstColumn="0" w:lastColumn="0" w:oddVBand="0" w:evenVBand="0" w:oddHBand="0" w:evenHBand="0" w:firstRowFirstColumn="0" w:firstRowLastColumn="0" w:lastRowFirstColumn="0" w:lastRowLastColumn="0"/>
                  </w:pPr>
                  <w:r w:rsidRPr="00F068B2">
                    <w:t>-10</w:t>
                  </w:r>
                </w:p>
              </w:tc>
            </w:tr>
            <w:tr w:rsidR="00192068" w:rsidRPr="00F068B2" w14:paraId="6EA710D0" w14:textId="77777777" w:rsidTr="00192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7F6B9D96" w14:textId="77777777" w:rsidR="00192068" w:rsidRPr="00F068B2" w:rsidRDefault="00192068" w:rsidP="008C07CF">
                  <w:r w:rsidRPr="00F068B2">
                    <w:t>ISETT</w:t>
                  </w:r>
                </w:p>
              </w:tc>
              <w:tc>
                <w:tcPr>
                  <w:tcW w:w="3332" w:type="dxa"/>
                </w:tcPr>
                <w:p w14:paraId="5E896F50" w14:textId="77777777" w:rsidR="00192068" w:rsidRPr="00F068B2" w:rsidRDefault="00192068" w:rsidP="008C07CF">
                  <w:pPr>
                    <w:cnfStyle w:val="000000100000" w:firstRow="0" w:lastRow="0" w:firstColumn="0" w:lastColumn="0" w:oddVBand="0" w:evenVBand="0" w:oddHBand="1" w:evenHBand="0" w:firstRowFirstColumn="0" w:firstRowLastColumn="0" w:lastRowFirstColumn="0" w:lastRowLastColumn="0"/>
                  </w:pPr>
                  <w:r w:rsidRPr="00F068B2">
                    <w:t>0</w:t>
                  </w:r>
                </w:p>
              </w:tc>
              <w:tc>
                <w:tcPr>
                  <w:tcW w:w="2126" w:type="dxa"/>
                </w:tcPr>
                <w:p w14:paraId="59803896" w14:textId="77777777" w:rsidR="00192068" w:rsidRPr="0009795B" w:rsidRDefault="00192068" w:rsidP="008C07CF">
                  <w:pPr>
                    <w:cnfStyle w:val="000000100000" w:firstRow="0" w:lastRow="0" w:firstColumn="0" w:lastColumn="0" w:oddVBand="0" w:evenVBand="0" w:oddHBand="1" w:evenHBand="0" w:firstRowFirstColumn="0" w:firstRowLastColumn="0" w:lastRowFirstColumn="0" w:lastRowLastColumn="0"/>
                  </w:pPr>
                  <w:r w:rsidRPr="0009795B">
                    <w:t>0</w:t>
                  </w:r>
                </w:p>
              </w:tc>
              <w:tc>
                <w:tcPr>
                  <w:tcW w:w="1985" w:type="dxa"/>
                </w:tcPr>
                <w:p w14:paraId="2707BB3E" w14:textId="77777777" w:rsidR="00192068" w:rsidRPr="00F068B2" w:rsidRDefault="00192068" w:rsidP="008C07CF">
                  <w:pPr>
                    <w:cnfStyle w:val="000000100000" w:firstRow="0" w:lastRow="0" w:firstColumn="0" w:lastColumn="0" w:oddVBand="0" w:evenVBand="0" w:oddHBand="1" w:evenHBand="0" w:firstRowFirstColumn="0" w:firstRowLastColumn="0" w:lastRowFirstColumn="0" w:lastRowLastColumn="0"/>
                  </w:pPr>
                  <w:r w:rsidRPr="00F068B2">
                    <w:t>0</w:t>
                  </w:r>
                </w:p>
              </w:tc>
            </w:tr>
            <w:tr w:rsidR="00192068" w:rsidRPr="00F068B2" w14:paraId="28E24B49" w14:textId="77777777" w:rsidTr="00192068">
              <w:tc>
                <w:tcPr>
                  <w:cnfStyle w:val="001000000000" w:firstRow="0" w:lastRow="0" w:firstColumn="1" w:lastColumn="0" w:oddVBand="0" w:evenVBand="0" w:oddHBand="0" w:evenHBand="0" w:firstRowFirstColumn="0" w:firstRowLastColumn="0" w:lastRowFirstColumn="0" w:lastRowLastColumn="0"/>
                  <w:tcW w:w="1803" w:type="dxa"/>
                </w:tcPr>
                <w:p w14:paraId="1A3CECDB" w14:textId="77777777" w:rsidR="00192068" w:rsidRPr="00F068B2" w:rsidRDefault="00192068" w:rsidP="008C07CF">
                  <w:r w:rsidRPr="00F068B2">
                    <w:t>INSETA</w:t>
                  </w:r>
                </w:p>
              </w:tc>
              <w:tc>
                <w:tcPr>
                  <w:tcW w:w="3332" w:type="dxa"/>
                </w:tcPr>
                <w:p w14:paraId="2E57599D" w14:textId="77777777" w:rsidR="00192068" w:rsidRPr="00F068B2" w:rsidRDefault="00192068" w:rsidP="008C07CF">
                  <w:pPr>
                    <w:cnfStyle w:val="000000000000" w:firstRow="0" w:lastRow="0" w:firstColumn="0" w:lastColumn="0" w:oddVBand="0" w:evenVBand="0" w:oddHBand="0" w:evenHBand="0" w:firstRowFirstColumn="0" w:firstRowLastColumn="0" w:lastRowFirstColumn="0" w:lastRowLastColumn="0"/>
                  </w:pPr>
                  <w:r w:rsidRPr="00F068B2">
                    <w:t>20</w:t>
                  </w:r>
                </w:p>
              </w:tc>
              <w:tc>
                <w:tcPr>
                  <w:tcW w:w="2126" w:type="dxa"/>
                </w:tcPr>
                <w:p w14:paraId="68159D85" w14:textId="77777777" w:rsidR="00192068" w:rsidRPr="0009795B" w:rsidRDefault="00192068" w:rsidP="008C07CF">
                  <w:pPr>
                    <w:cnfStyle w:val="000000000000" w:firstRow="0" w:lastRow="0" w:firstColumn="0" w:lastColumn="0" w:oddVBand="0" w:evenVBand="0" w:oddHBand="0" w:evenHBand="0" w:firstRowFirstColumn="0" w:firstRowLastColumn="0" w:lastRowFirstColumn="0" w:lastRowLastColumn="0"/>
                  </w:pPr>
                  <w:r w:rsidRPr="0009795B">
                    <w:t>0</w:t>
                  </w:r>
                </w:p>
              </w:tc>
              <w:tc>
                <w:tcPr>
                  <w:tcW w:w="1985" w:type="dxa"/>
                </w:tcPr>
                <w:p w14:paraId="2048EE14" w14:textId="77777777" w:rsidR="00192068" w:rsidRPr="00F068B2" w:rsidRDefault="00192068" w:rsidP="008C07CF">
                  <w:pPr>
                    <w:cnfStyle w:val="000000000000" w:firstRow="0" w:lastRow="0" w:firstColumn="0" w:lastColumn="0" w:oddVBand="0" w:evenVBand="0" w:oddHBand="0" w:evenHBand="0" w:firstRowFirstColumn="0" w:firstRowLastColumn="0" w:lastRowFirstColumn="0" w:lastRowLastColumn="0"/>
                  </w:pPr>
                  <w:r w:rsidRPr="00F068B2">
                    <w:t>-20</w:t>
                  </w:r>
                </w:p>
              </w:tc>
            </w:tr>
            <w:tr w:rsidR="00192068" w:rsidRPr="00F068B2" w14:paraId="1BF1B0C6" w14:textId="77777777" w:rsidTr="00192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0C6EF714" w14:textId="77777777" w:rsidR="00192068" w:rsidRPr="00F068B2" w:rsidRDefault="00192068" w:rsidP="008C07CF">
                  <w:r w:rsidRPr="00F068B2">
                    <w:t>LGSETA</w:t>
                  </w:r>
                </w:p>
              </w:tc>
              <w:tc>
                <w:tcPr>
                  <w:tcW w:w="3332" w:type="dxa"/>
                </w:tcPr>
                <w:p w14:paraId="18097FA7" w14:textId="77777777" w:rsidR="00192068" w:rsidRPr="00F068B2" w:rsidRDefault="00192068" w:rsidP="008C07CF">
                  <w:pPr>
                    <w:cnfStyle w:val="000000100000" w:firstRow="0" w:lastRow="0" w:firstColumn="0" w:lastColumn="0" w:oddVBand="0" w:evenVBand="0" w:oddHBand="1" w:evenHBand="0" w:firstRowFirstColumn="0" w:firstRowLastColumn="0" w:lastRowFirstColumn="0" w:lastRowLastColumn="0"/>
                  </w:pPr>
                  <w:r w:rsidRPr="00F068B2">
                    <w:t>2</w:t>
                  </w:r>
                </w:p>
              </w:tc>
              <w:tc>
                <w:tcPr>
                  <w:tcW w:w="2126" w:type="dxa"/>
                </w:tcPr>
                <w:p w14:paraId="3F72E4C9" w14:textId="77777777" w:rsidR="00192068" w:rsidRPr="0009795B" w:rsidRDefault="00192068" w:rsidP="008C07CF">
                  <w:pPr>
                    <w:cnfStyle w:val="000000100000" w:firstRow="0" w:lastRow="0" w:firstColumn="0" w:lastColumn="0" w:oddVBand="0" w:evenVBand="0" w:oddHBand="1" w:evenHBand="0" w:firstRowFirstColumn="0" w:firstRowLastColumn="0" w:lastRowFirstColumn="0" w:lastRowLastColumn="0"/>
                  </w:pPr>
                  <w:r w:rsidRPr="0009795B">
                    <w:t>0</w:t>
                  </w:r>
                </w:p>
              </w:tc>
              <w:tc>
                <w:tcPr>
                  <w:tcW w:w="1985" w:type="dxa"/>
                </w:tcPr>
                <w:p w14:paraId="35BFD8EC" w14:textId="77777777" w:rsidR="00192068" w:rsidRPr="00F068B2" w:rsidRDefault="00192068" w:rsidP="008C07CF">
                  <w:pPr>
                    <w:cnfStyle w:val="000000100000" w:firstRow="0" w:lastRow="0" w:firstColumn="0" w:lastColumn="0" w:oddVBand="0" w:evenVBand="0" w:oddHBand="1" w:evenHBand="0" w:firstRowFirstColumn="0" w:firstRowLastColumn="0" w:lastRowFirstColumn="0" w:lastRowLastColumn="0"/>
                  </w:pPr>
                  <w:r w:rsidRPr="00F068B2">
                    <w:t>-2</w:t>
                  </w:r>
                </w:p>
              </w:tc>
            </w:tr>
            <w:tr w:rsidR="00192068" w:rsidRPr="00F068B2" w14:paraId="6859A299" w14:textId="77777777" w:rsidTr="00192068">
              <w:tc>
                <w:tcPr>
                  <w:cnfStyle w:val="001000000000" w:firstRow="0" w:lastRow="0" w:firstColumn="1" w:lastColumn="0" w:oddVBand="0" w:evenVBand="0" w:oddHBand="0" w:evenHBand="0" w:firstRowFirstColumn="0" w:firstRowLastColumn="0" w:lastRowFirstColumn="0" w:lastRowLastColumn="0"/>
                  <w:tcW w:w="1803" w:type="dxa"/>
                </w:tcPr>
                <w:p w14:paraId="22176A02" w14:textId="77777777" w:rsidR="00192068" w:rsidRPr="00F068B2" w:rsidRDefault="00192068" w:rsidP="008C07CF">
                  <w:r w:rsidRPr="00F068B2">
                    <w:t>MAPPP</w:t>
                  </w:r>
                </w:p>
              </w:tc>
              <w:tc>
                <w:tcPr>
                  <w:tcW w:w="3332" w:type="dxa"/>
                </w:tcPr>
                <w:p w14:paraId="774A8C8A" w14:textId="77777777" w:rsidR="00192068" w:rsidRPr="00F068B2" w:rsidRDefault="00192068" w:rsidP="008C07CF">
                  <w:pPr>
                    <w:cnfStyle w:val="000000000000" w:firstRow="0" w:lastRow="0" w:firstColumn="0" w:lastColumn="0" w:oddVBand="0" w:evenVBand="0" w:oddHBand="0" w:evenHBand="0" w:firstRowFirstColumn="0" w:firstRowLastColumn="0" w:lastRowFirstColumn="0" w:lastRowLastColumn="0"/>
                  </w:pPr>
                  <w:r w:rsidRPr="00F068B2">
                    <w:t>10</w:t>
                  </w:r>
                </w:p>
              </w:tc>
              <w:tc>
                <w:tcPr>
                  <w:tcW w:w="2126" w:type="dxa"/>
                </w:tcPr>
                <w:p w14:paraId="01FE84B8" w14:textId="77777777" w:rsidR="00192068" w:rsidRPr="0009795B" w:rsidRDefault="00192068" w:rsidP="008C07CF">
                  <w:pPr>
                    <w:cnfStyle w:val="000000000000" w:firstRow="0" w:lastRow="0" w:firstColumn="0" w:lastColumn="0" w:oddVBand="0" w:evenVBand="0" w:oddHBand="0" w:evenHBand="0" w:firstRowFirstColumn="0" w:firstRowLastColumn="0" w:lastRowFirstColumn="0" w:lastRowLastColumn="0"/>
                  </w:pPr>
                  <w:r w:rsidRPr="0009795B">
                    <w:t>15</w:t>
                  </w:r>
                </w:p>
              </w:tc>
              <w:tc>
                <w:tcPr>
                  <w:tcW w:w="1985" w:type="dxa"/>
                </w:tcPr>
                <w:p w14:paraId="1C36409E" w14:textId="77777777" w:rsidR="00192068" w:rsidRPr="00F068B2" w:rsidRDefault="00192068" w:rsidP="008C07CF">
                  <w:pPr>
                    <w:cnfStyle w:val="000000000000" w:firstRow="0" w:lastRow="0" w:firstColumn="0" w:lastColumn="0" w:oddVBand="0" w:evenVBand="0" w:oddHBand="0" w:evenHBand="0" w:firstRowFirstColumn="0" w:firstRowLastColumn="0" w:lastRowFirstColumn="0" w:lastRowLastColumn="0"/>
                  </w:pPr>
                  <w:r w:rsidRPr="00F068B2">
                    <w:t>5</w:t>
                  </w:r>
                </w:p>
              </w:tc>
            </w:tr>
            <w:tr w:rsidR="00192068" w:rsidRPr="00F068B2" w14:paraId="76CCAD82" w14:textId="77777777" w:rsidTr="00192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51BFB713" w14:textId="77777777" w:rsidR="00192068" w:rsidRPr="00F068B2" w:rsidRDefault="00192068" w:rsidP="008C07CF">
                  <w:r w:rsidRPr="00F068B2">
                    <w:t>MQA</w:t>
                  </w:r>
                </w:p>
              </w:tc>
              <w:tc>
                <w:tcPr>
                  <w:tcW w:w="3332" w:type="dxa"/>
                </w:tcPr>
                <w:p w14:paraId="42DF3888" w14:textId="77777777" w:rsidR="00192068" w:rsidRPr="00F068B2" w:rsidRDefault="00192068" w:rsidP="008C07CF">
                  <w:pPr>
                    <w:cnfStyle w:val="000000100000" w:firstRow="0" w:lastRow="0" w:firstColumn="0" w:lastColumn="0" w:oddVBand="0" w:evenVBand="0" w:oddHBand="1" w:evenHBand="0" w:firstRowFirstColumn="0" w:firstRowLastColumn="0" w:lastRowFirstColumn="0" w:lastRowLastColumn="0"/>
                  </w:pPr>
                  <w:r w:rsidRPr="00F068B2">
                    <w:t>0</w:t>
                  </w:r>
                </w:p>
              </w:tc>
              <w:tc>
                <w:tcPr>
                  <w:tcW w:w="2126" w:type="dxa"/>
                </w:tcPr>
                <w:p w14:paraId="08889113" w14:textId="77777777" w:rsidR="00192068" w:rsidRPr="0009795B" w:rsidRDefault="00192068" w:rsidP="008C07CF">
                  <w:pPr>
                    <w:cnfStyle w:val="000000100000" w:firstRow="0" w:lastRow="0" w:firstColumn="0" w:lastColumn="0" w:oddVBand="0" w:evenVBand="0" w:oddHBand="1" w:evenHBand="0" w:firstRowFirstColumn="0" w:firstRowLastColumn="0" w:lastRowFirstColumn="0" w:lastRowLastColumn="0"/>
                  </w:pPr>
                  <w:r w:rsidRPr="0009795B">
                    <w:t>0</w:t>
                  </w:r>
                </w:p>
              </w:tc>
              <w:tc>
                <w:tcPr>
                  <w:tcW w:w="1985" w:type="dxa"/>
                </w:tcPr>
                <w:p w14:paraId="7A324D4E" w14:textId="77777777" w:rsidR="00192068" w:rsidRPr="00F068B2" w:rsidRDefault="00192068" w:rsidP="008C07CF">
                  <w:pPr>
                    <w:cnfStyle w:val="000000100000" w:firstRow="0" w:lastRow="0" w:firstColumn="0" w:lastColumn="0" w:oddVBand="0" w:evenVBand="0" w:oddHBand="1" w:evenHBand="0" w:firstRowFirstColumn="0" w:firstRowLastColumn="0" w:lastRowFirstColumn="0" w:lastRowLastColumn="0"/>
                  </w:pPr>
                  <w:r w:rsidRPr="00F068B2">
                    <w:t>0</w:t>
                  </w:r>
                </w:p>
              </w:tc>
            </w:tr>
            <w:tr w:rsidR="00192068" w:rsidRPr="00F068B2" w14:paraId="6B9A6C14" w14:textId="77777777" w:rsidTr="00192068">
              <w:tc>
                <w:tcPr>
                  <w:cnfStyle w:val="001000000000" w:firstRow="0" w:lastRow="0" w:firstColumn="1" w:lastColumn="0" w:oddVBand="0" w:evenVBand="0" w:oddHBand="0" w:evenHBand="0" w:firstRowFirstColumn="0" w:firstRowLastColumn="0" w:lastRowFirstColumn="0" w:lastRowLastColumn="0"/>
                  <w:tcW w:w="1803" w:type="dxa"/>
                </w:tcPr>
                <w:p w14:paraId="25293DF4" w14:textId="77777777" w:rsidR="00192068" w:rsidRPr="00F068B2" w:rsidRDefault="00192068" w:rsidP="008C07CF">
                  <w:r w:rsidRPr="00F068B2">
                    <w:lastRenderedPageBreak/>
                    <w:t>MERSETA</w:t>
                  </w:r>
                </w:p>
              </w:tc>
              <w:tc>
                <w:tcPr>
                  <w:tcW w:w="3332" w:type="dxa"/>
                </w:tcPr>
                <w:p w14:paraId="3A3A7882" w14:textId="77777777" w:rsidR="00192068" w:rsidRPr="00F068B2" w:rsidRDefault="00192068" w:rsidP="008C07CF">
                  <w:pPr>
                    <w:cnfStyle w:val="000000000000" w:firstRow="0" w:lastRow="0" w:firstColumn="0" w:lastColumn="0" w:oddVBand="0" w:evenVBand="0" w:oddHBand="0" w:evenHBand="0" w:firstRowFirstColumn="0" w:firstRowLastColumn="0" w:lastRowFirstColumn="0" w:lastRowLastColumn="0"/>
                  </w:pPr>
                  <w:r w:rsidRPr="00F068B2">
                    <w:t>8</w:t>
                  </w:r>
                </w:p>
              </w:tc>
              <w:tc>
                <w:tcPr>
                  <w:tcW w:w="2126" w:type="dxa"/>
                </w:tcPr>
                <w:p w14:paraId="702DD5E9" w14:textId="77777777" w:rsidR="00192068" w:rsidRPr="0009795B" w:rsidRDefault="00192068" w:rsidP="008C07CF">
                  <w:pPr>
                    <w:cnfStyle w:val="000000000000" w:firstRow="0" w:lastRow="0" w:firstColumn="0" w:lastColumn="0" w:oddVBand="0" w:evenVBand="0" w:oddHBand="0" w:evenHBand="0" w:firstRowFirstColumn="0" w:firstRowLastColumn="0" w:lastRowFirstColumn="0" w:lastRowLastColumn="0"/>
                  </w:pPr>
                  <w:r w:rsidRPr="0009795B">
                    <w:t>59</w:t>
                  </w:r>
                </w:p>
              </w:tc>
              <w:tc>
                <w:tcPr>
                  <w:tcW w:w="1985" w:type="dxa"/>
                </w:tcPr>
                <w:p w14:paraId="29743ED0" w14:textId="77777777" w:rsidR="00192068" w:rsidRPr="00F068B2" w:rsidRDefault="00192068" w:rsidP="008C07CF">
                  <w:pPr>
                    <w:cnfStyle w:val="000000000000" w:firstRow="0" w:lastRow="0" w:firstColumn="0" w:lastColumn="0" w:oddVBand="0" w:evenVBand="0" w:oddHBand="0" w:evenHBand="0" w:firstRowFirstColumn="0" w:firstRowLastColumn="0" w:lastRowFirstColumn="0" w:lastRowLastColumn="0"/>
                  </w:pPr>
                  <w:r w:rsidRPr="00F068B2">
                    <w:t>51</w:t>
                  </w:r>
                </w:p>
              </w:tc>
            </w:tr>
            <w:tr w:rsidR="00192068" w:rsidRPr="00F068B2" w14:paraId="29D76878" w14:textId="77777777" w:rsidTr="00192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1E313627" w14:textId="77777777" w:rsidR="00192068" w:rsidRPr="00F068B2" w:rsidRDefault="00192068" w:rsidP="008C07CF">
                  <w:r w:rsidRPr="00F068B2">
                    <w:t>SASSETA</w:t>
                  </w:r>
                </w:p>
              </w:tc>
              <w:tc>
                <w:tcPr>
                  <w:tcW w:w="3332" w:type="dxa"/>
                </w:tcPr>
                <w:p w14:paraId="60F72572" w14:textId="77777777" w:rsidR="00192068" w:rsidRPr="00F068B2" w:rsidRDefault="00192068" w:rsidP="008C07CF">
                  <w:pPr>
                    <w:cnfStyle w:val="000000100000" w:firstRow="0" w:lastRow="0" w:firstColumn="0" w:lastColumn="0" w:oddVBand="0" w:evenVBand="0" w:oddHBand="1" w:evenHBand="0" w:firstRowFirstColumn="0" w:firstRowLastColumn="0" w:lastRowFirstColumn="0" w:lastRowLastColumn="0"/>
                  </w:pPr>
                  <w:r w:rsidRPr="00F068B2">
                    <w:t>5</w:t>
                  </w:r>
                </w:p>
              </w:tc>
              <w:tc>
                <w:tcPr>
                  <w:tcW w:w="2126" w:type="dxa"/>
                </w:tcPr>
                <w:p w14:paraId="046477DC" w14:textId="77777777" w:rsidR="00192068" w:rsidRPr="0009795B" w:rsidRDefault="00192068" w:rsidP="008C07CF">
                  <w:pPr>
                    <w:cnfStyle w:val="000000100000" w:firstRow="0" w:lastRow="0" w:firstColumn="0" w:lastColumn="0" w:oddVBand="0" w:evenVBand="0" w:oddHBand="1" w:evenHBand="0" w:firstRowFirstColumn="0" w:firstRowLastColumn="0" w:lastRowFirstColumn="0" w:lastRowLastColumn="0"/>
                  </w:pPr>
                  <w:r w:rsidRPr="0009795B">
                    <w:t>12</w:t>
                  </w:r>
                </w:p>
              </w:tc>
              <w:tc>
                <w:tcPr>
                  <w:tcW w:w="1985" w:type="dxa"/>
                </w:tcPr>
                <w:p w14:paraId="1D56E68D" w14:textId="77777777" w:rsidR="00192068" w:rsidRPr="00F068B2" w:rsidRDefault="00192068" w:rsidP="008C07CF">
                  <w:pPr>
                    <w:cnfStyle w:val="000000100000" w:firstRow="0" w:lastRow="0" w:firstColumn="0" w:lastColumn="0" w:oddVBand="0" w:evenVBand="0" w:oddHBand="1" w:evenHBand="0" w:firstRowFirstColumn="0" w:firstRowLastColumn="0" w:lastRowFirstColumn="0" w:lastRowLastColumn="0"/>
                  </w:pPr>
                  <w:r w:rsidRPr="00F068B2">
                    <w:t>7</w:t>
                  </w:r>
                </w:p>
              </w:tc>
            </w:tr>
            <w:tr w:rsidR="00192068" w:rsidRPr="00F068B2" w14:paraId="15A9F405" w14:textId="77777777" w:rsidTr="00192068">
              <w:tc>
                <w:tcPr>
                  <w:cnfStyle w:val="001000000000" w:firstRow="0" w:lastRow="0" w:firstColumn="1" w:lastColumn="0" w:oddVBand="0" w:evenVBand="0" w:oddHBand="0" w:evenHBand="0" w:firstRowFirstColumn="0" w:firstRowLastColumn="0" w:lastRowFirstColumn="0" w:lastRowLastColumn="0"/>
                  <w:tcW w:w="1803" w:type="dxa"/>
                </w:tcPr>
                <w:p w14:paraId="47CF94BE" w14:textId="77777777" w:rsidR="00192068" w:rsidRPr="00F068B2" w:rsidRDefault="00192068" w:rsidP="008C07CF">
                  <w:r w:rsidRPr="00F068B2">
                    <w:t>AGRISETA</w:t>
                  </w:r>
                </w:p>
              </w:tc>
              <w:tc>
                <w:tcPr>
                  <w:tcW w:w="3332" w:type="dxa"/>
                </w:tcPr>
                <w:p w14:paraId="018A0C01" w14:textId="77777777" w:rsidR="00192068" w:rsidRPr="00F068B2" w:rsidRDefault="00192068" w:rsidP="008C07CF">
                  <w:pPr>
                    <w:cnfStyle w:val="000000000000" w:firstRow="0" w:lastRow="0" w:firstColumn="0" w:lastColumn="0" w:oddVBand="0" w:evenVBand="0" w:oddHBand="0" w:evenHBand="0" w:firstRowFirstColumn="0" w:firstRowLastColumn="0" w:lastRowFirstColumn="0" w:lastRowLastColumn="0"/>
                  </w:pPr>
                  <w:r w:rsidRPr="00F068B2">
                    <w:t>30</w:t>
                  </w:r>
                </w:p>
              </w:tc>
              <w:tc>
                <w:tcPr>
                  <w:tcW w:w="2126" w:type="dxa"/>
                </w:tcPr>
                <w:p w14:paraId="27FB20B6" w14:textId="77777777" w:rsidR="00192068" w:rsidRPr="0009795B" w:rsidRDefault="00192068" w:rsidP="008C07CF">
                  <w:pPr>
                    <w:cnfStyle w:val="000000000000" w:firstRow="0" w:lastRow="0" w:firstColumn="0" w:lastColumn="0" w:oddVBand="0" w:evenVBand="0" w:oddHBand="0" w:evenHBand="0" w:firstRowFirstColumn="0" w:firstRowLastColumn="0" w:lastRowFirstColumn="0" w:lastRowLastColumn="0"/>
                  </w:pPr>
                  <w:r w:rsidRPr="0009795B">
                    <w:t>37</w:t>
                  </w:r>
                </w:p>
              </w:tc>
              <w:tc>
                <w:tcPr>
                  <w:tcW w:w="1985" w:type="dxa"/>
                </w:tcPr>
                <w:p w14:paraId="6822AF3F" w14:textId="77777777" w:rsidR="00192068" w:rsidRPr="00F068B2" w:rsidRDefault="00192068" w:rsidP="008C07CF">
                  <w:pPr>
                    <w:cnfStyle w:val="000000000000" w:firstRow="0" w:lastRow="0" w:firstColumn="0" w:lastColumn="0" w:oddVBand="0" w:evenVBand="0" w:oddHBand="0" w:evenHBand="0" w:firstRowFirstColumn="0" w:firstRowLastColumn="0" w:lastRowFirstColumn="0" w:lastRowLastColumn="0"/>
                  </w:pPr>
                  <w:r w:rsidRPr="00F068B2">
                    <w:t>7</w:t>
                  </w:r>
                </w:p>
              </w:tc>
            </w:tr>
            <w:tr w:rsidR="00192068" w:rsidRPr="00F068B2" w14:paraId="3F05FE8D" w14:textId="77777777" w:rsidTr="00192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40323CE" w14:textId="77777777" w:rsidR="00192068" w:rsidRPr="00F068B2" w:rsidRDefault="00192068" w:rsidP="008C07CF">
                  <w:r w:rsidRPr="00F068B2">
                    <w:t>PSETA</w:t>
                  </w:r>
                </w:p>
              </w:tc>
              <w:tc>
                <w:tcPr>
                  <w:tcW w:w="3332" w:type="dxa"/>
                </w:tcPr>
                <w:p w14:paraId="77817451" w14:textId="77777777" w:rsidR="00192068" w:rsidRPr="00F068B2" w:rsidRDefault="00192068" w:rsidP="008C07CF">
                  <w:pPr>
                    <w:cnfStyle w:val="000000100000" w:firstRow="0" w:lastRow="0" w:firstColumn="0" w:lastColumn="0" w:oddVBand="0" w:evenVBand="0" w:oddHBand="1" w:evenHBand="0" w:firstRowFirstColumn="0" w:firstRowLastColumn="0" w:lastRowFirstColumn="0" w:lastRowLastColumn="0"/>
                  </w:pPr>
                  <w:r w:rsidRPr="00F068B2">
                    <w:t>0</w:t>
                  </w:r>
                </w:p>
              </w:tc>
              <w:tc>
                <w:tcPr>
                  <w:tcW w:w="2126" w:type="dxa"/>
                </w:tcPr>
                <w:p w14:paraId="3C584980" w14:textId="77777777" w:rsidR="00192068" w:rsidRPr="0009795B" w:rsidRDefault="00192068" w:rsidP="008C07CF">
                  <w:pPr>
                    <w:cnfStyle w:val="000000100000" w:firstRow="0" w:lastRow="0" w:firstColumn="0" w:lastColumn="0" w:oddVBand="0" w:evenVBand="0" w:oddHBand="1" w:evenHBand="0" w:firstRowFirstColumn="0" w:firstRowLastColumn="0" w:lastRowFirstColumn="0" w:lastRowLastColumn="0"/>
                  </w:pPr>
                  <w:r w:rsidRPr="0009795B">
                    <w:t>0</w:t>
                  </w:r>
                </w:p>
              </w:tc>
              <w:tc>
                <w:tcPr>
                  <w:tcW w:w="1985" w:type="dxa"/>
                </w:tcPr>
                <w:p w14:paraId="220899EE" w14:textId="77777777" w:rsidR="00192068" w:rsidRPr="00F068B2" w:rsidRDefault="00192068" w:rsidP="008C07CF">
                  <w:pPr>
                    <w:cnfStyle w:val="000000100000" w:firstRow="0" w:lastRow="0" w:firstColumn="0" w:lastColumn="0" w:oddVBand="0" w:evenVBand="0" w:oddHBand="1" w:evenHBand="0" w:firstRowFirstColumn="0" w:firstRowLastColumn="0" w:lastRowFirstColumn="0" w:lastRowLastColumn="0"/>
                  </w:pPr>
                  <w:r w:rsidRPr="00F068B2">
                    <w:t>0</w:t>
                  </w:r>
                </w:p>
              </w:tc>
            </w:tr>
            <w:tr w:rsidR="00192068" w:rsidRPr="00F068B2" w14:paraId="79537F8F" w14:textId="77777777" w:rsidTr="00192068">
              <w:tc>
                <w:tcPr>
                  <w:cnfStyle w:val="001000000000" w:firstRow="0" w:lastRow="0" w:firstColumn="1" w:lastColumn="0" w:oddVBand="0" w:evenVBand="0" w:oddHBand="0" w:evenHBand="0" w:firstRowFirstColumn="0" w:firstRowLastColumn="0" w:lastRowFirstColumn="0" w:lastRowLastColumn="0"/>
                  <w:tcW w:w="1803" w:type="dxa"/>
                </w:tcPr>
                <w:p w14:paraId="64033ED0" w14:textId="77777777" w:rsidR="00192068" w:rsidRPr="00F068B2" w:rsidRDefault="00192068" w:rsidP="008C07CF">
                  <w:r w:rsidRPr="00F068B2">
                    <w:t>SERVICES</w:t>
                  </w:r>
                </w:p>
              </w:tc>
              <w:tc>
                <w:tcPr>
                  <w:tcW w:w="3332" w:type="dxa"/>
                </w:tcPr>
                <w:p w14:paraId="6B8D985D" w14:textId="77777777" w:rsidR="00192068" w:rsidRPr="00F068B2" w:rsidRDefault="00192068" w:rsidP="008C07CF">
                  <w:pPr>
                    <w:cnfStyle w:val="000000000000" w:firstRow="0" w:lastRow="0" w:firstColumn="0" w:lastColumn="0" w:oddVBand="0" w:evenVBand="0" w:oddHBand="0" w:evenHBand="0" w:firstRowFirstColumn="0" w:firstRowLastColumn="0" w:lastRowFirstColumn="0" w:lastRowLastColumn="0"/>
                  </w:pPr>
                  <w:r w:rsidRPr="00F068B2">
                    <w:t>100</w:t>
                  </w:r>
                </w:p>
              </w:tc>
              <w:tc>
                <w:tcPr>
                  <w:tcW w:w="2126" w:type="dxa"/>
                </w:tcPr>
                <w:p w14:paraId="321B09B8" w14:textId="77777777" w:rsidR="00192068" w:rsidRPr="0009795B" w:rsidRDefault="00192068" w:rsidP="008C07CF">
                  <w:pPr>
                    <w:cnfStyle w:val="000000000000" w:firstRow="0" w:lastRow="0" w:firstColumn="0" w:lastColumn="0" w:oddVBand="0" w:evenVBand="0" w:oddHBand="0" w:evenHBand="0" w:firstRowFirstColumn="0" w:firstRowLastColumn="0" w:lastRowFirstColumn="0" w:lastRowLastColumn="0"/>
                  </w:pPr>
                  <w:r w:rsidRPr="0009795B">
                    <w:t>145</w:t>
                  </w:r>
                </w:p>
              </w:tc>
              <w:tc>
                <w:tcPr>
                  <w:tcW w:w="1985" w:type="dxa"/>
                </w:tcPr>
                <w:p w14:paraId="52509AE7" w14:textId="77777777" w:rsidR="00192068" w:rsidRPr="00F068B2" w:rsidRDefault="00192068" w:rsidP="008C07CF">
                  <w:pPr>
                    <w:cnfStyle w:val="000000000000" w:firstRow="0" w:lastRow="0" w:firstColumn="0" w:lastColumn="0" w:oddVBand="0" w:evenVBand="0" w:oddHBand="0" w:evenHBand="0" w:firstRowFirstColumn="0" w:firstRowLastColumn="0" w:lastRowFirstColumn="0" w:lastRowLastColumn="0"/>
                  </w:pPr>
                  <w:r w:rsidRPr="00F068B2">
                    <w:t>45</w:t>
                  </w:r>
                </w:p>
              </w:tc>
            </w:tr>
            <w:tr w:rsidR="00192068" w:rsidRPr="00F068B2" w14:paraId="64A5B395" w14:textId="77777777" w:rsidTr="00192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13518385" w14:textId="77777777" w:rsidR="00192068" w:rsidRPr="00F068B2" w:rsidRDefault="00192068" w:rsidP="008C07CF">
                  <w:r w:rsidRPr="00F068B2">
                    <w:t>THETA</w:t>
                  </w:r>
                </w:p>
              </w:tc>
              <w:tc>
                <w:tcPr>
                  <w:tcW w:w="3332" w:type="dxa"/>
                </w:tcPr>
                <w:p w14:paraId="392F2E74" w14:textId="77777777" w:rsidR="00192068" w:rsidRPr="00F068B2" w:rsidRDefault="00192068" w:rsidP="008C07CF">
                  <w:pPr>
                    <w:cnfStyle w:val="000000100000" w:firstRow="0" w:lastRow="0" w:firstColumn="0" w:lastColumn="0" w:oddVBand="0" w:evenVBand="0" w:oddHBand="1" w:evenHBand="0" w:firstRowFirstColumn="0" w:firstRowLastColumn="0" w:lastRowFirstColumn="0" w:lastRowLastColumn="0"/>
                  </w:pPr>
                  <w:r w:rsidRPr="00F068B2">
                    <w:t>50</w:t>
                  </w:r>
                </w:p>
              </w:tc>
              <w:tc>
                <w:tcPr>
                  <w:tcW w:w="2126" w:type="dxa"/>
                </w:tcPr>
                <w:p w14:paraId="6215E743" w14:textId="77777777" w:rsidR="00192068" w:rsidRPr="0009795B" w:rsidRDefault="00192068" w:rsidP="008C07CF">
                  <w:pPr>
                    <w:cnfStyle w:val="000000100000" w:firstRow="0" w:lastRow="0" w:firstColumn="0" w:lastColumn="0" w:oddVBand="0" w:evenVBand="0" w:oddHBand="1" w:evenHBand="0" w:firstRowFirstColumn="0" w:firstRowLastColumn="0" w:lastRowFirstColumn="0" w:lastRowLastColumn="0"/>
                  </w:pPr>
                  <w:r w:rsidRPr="0009795B">
                    <w:t>50</w:t>
                  </w:r>
                </w:p>
              </w:tc>
              <w:tc>
                <w:tcPr>
                  <w:tcW w:w="1985" w:type="dxa"/>
                </w:tcPr>
                <w:p w14:paraId="7D55EE58" w14:textId="77777777" w:rsidR="00192068" w:rsidRPr="00F068B2" w:rsidRDefault="00192068" w:rsidP="008C07CF">
                  <w:pPr>
                    <w:cnfStyle w:val="000000100000" w:firstRow="0" w:lastRow="0" w:firstColumn="0" w:lastColumn="0" w:oddVBand="0" w:evenVBand="0" w:oddHBand="1" w:evenHBand="0" w:firstRowFirstColumn="0" w:firstRowLastColumn="0" w:lastRowFirstColumn="0" w:lastRowLastColumn="0"/>
                  </w:pPr>
                  <w:r w:rsidRPr="00F068B2">
                    <w:t>0</w:t>
                  </w:r>
                </w:p>
              </w:tc>
            </w:tr>
            <w:tr w:rsidR="00192068" w:rsidRPr="00F068B2" w14:paraId="7B6992BA" w14:textId="77777777" w:rsidTr="00192068">
              <w:tc>
                <w:tcPr>
                  <w:cnfStyle w:val="001000000000" w:firstRow="0" w:lastRow="0" w:firstColumn="1" w:lastColumn="0" w:oddVBand="0" w:evenVBand="0" w:oddHBand="0" w:evenHBand="0" w:firstRowFirstColumn="0" w:firstRowLastColumn="0" w:lastRowFirstColumn="0" w:lastRowLastColumn="0"/>
                  <w:tcW w:w="1803" w:type="dxa"/>
                </w:tcPr>
                <w:p w14:paraId="43E740A8" w14:textId="77777777" w:rsidR="00192068" w:rsidRPr="00F068B2" w:rsidRDefault="00192068" w:rsidP="008C07CF">
                  <w:r w:rsidRPr="00F068B2">
                    <w:t>TETA</w:t>
                  </w:r>
                </w:p>
              </w:tc>
              <w:tc>
                <w:tcPr>
                  <w:tcW w:w="3332" w:type="dxa"/>
                </w:tcPr>
                <w:p w14:paraId="19A84B98" w14:textId="77777777" w:rsidR="00192068" w:rsidRPr="00F068B2" w:rsidRDefault="00192068" w:rsidP="008C07CF">
                  <w:pPr>
                    <w:cnfStyle w:val="000000000000" w:firstRow="0" w:lastRow="0" w:firstColumn="0" w:lastColumn="0" w:oddVBand="0" w:evenVBand="0" w:oddHBand="0" w:evenHBand="0" w:firstRowFirstColumn="0" w:firstRowLastColumn="0" w:lastRowFirstColumn="0" w:lastRowLastColumn="0"/>
                  </w:pPr>
                  <w:r w:rsidRPr="00F068B2">
                    <w:t>5</w:t>
                  </w:r>
                </w:p>
              </w:tc>
              <w:tc>
                <w:tcPr>
                  <w:tcW w:w="2126" w:type="dxa"/>
                </w:tcPr>
                <w:p w14:paraId="6868C289" w14:textId="77777777" w:rsidR="00192068" w:rsidRPr="0009795B" w:rsidRDefault="00192068" w:rsidP="008C07CF">
                  <w:pPr>
                    <w:cnfStyle w:val="000000000000" w:firstRow="0" w:lastRow="0" w:firstColumn="0" w:lastColumn="0" w:oddVBand="0" w:evenVBand="0" w:oddHBand="0" w:evenHBand="0" w:firstRowFirstColumn="0" w:firstRowLastColumn="0" w:lastRowFirstColumn="0" w:lastRowLastColumn="0"/>
                  </w:pPr>
                  <w:r w:rsidRPr="0009795B">
                    <w:t>11</w:t>
                  </w:r>
                </w:p>
              </w:tc>
              <w:tc>
                <w:tcPr>
                  <w:tcW w:w="1985" w:type="dxa"/>
                </w:tcPr>
                <w:p w14:paraId="15FBE414" w14:textId="77777777" w:rsidR="00192068" w:rsidRPr="00F068B2" w:rsidRDefault="00192068" w:rsidP="008C07CF">
                  <w:pPr>
                    <w:cnfStyle w:val="000000000000" w:firstRow="0" w:lastRow="0" w:firstColumn="0" w:lastColumn="0" w:oddVBand="0" w:evenVBand="0" w:oddHBand="0" w:evenHBand="0" w:firstRowFirstColumn="0" w:firstRowLastColumn="0" w:lastRowFirstColumn="0" w:lastRowLastColumn="0"/>
                  </w:pPr>
                  <w:r w:rsidRPr="00F068B2">
                    <w:t>6</w:t>
                  </w:r>
                </w:p>
              </w:tc>
            </w:tr>
            <w:tr w:rsidR="00192068" w:rsidRPr="00F068B2" w14:paraId="36A7AC57" w14:textId="77777777" w:rsidTr="00192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1C2EE401" w14:textId="77777777" w:rsidR="00192068" w:rsidRPr="00F068B2" w:rsidRDefault="00192068" w:rsidP="008C07CF">
                  <w:r w:rsidRPr="00F068B2">
                    <w:t>W&amp;RSETA</w:t>
                  </w:r>
                </w:p>
              </w:tc>
              <w:tc>
                <w:tcPr>
                  <w:tcW w:w="3332" w:type="dxa"/>
                </w:tcPr>
                <w:p w14:paraId="4DEDCCB5" w14:textId="77777777" w:rsidR="00192068" w:rsidRPr="00F068B2" w:rsidRDefault="00192068" w:rsidP="008C07CF">
                  <w:pPr>
                    <w:cnfStyle w:val="000000100000" w:firstRow="0" w:lastRow="0" w:firstColumn="0" w:lastColumn="0" w:oddVBand="0" w:evenVBand="0" w:oddHBand="1" w:evenHBand="0" w:firstRowFirstColumn="0" w:firstRowLastColumn="0" w:lastRowFirstColumn="0" w:lastRowLastColumn="0"/>
                  </w:pPr>
                  <w:r w:rsidRPr="00F068B2">
                    <w:t>0</w:t>
                  </w:r>
                </w:p>
              </w:tc>
              <w:tc>
                <w:tcPr>
                  <w:tcW w:w="2126" w:type="dxa"/>
                </w:tcPr>
                <w:p w14:paraId="36D32D7F" w14:textId="77777777" w:rsidR="00192068" w:rsidRPr="0009795B" w:rsidRDefault="00192068" w:rsidP="008C07CF">
                  <w:pPr>
                    <w:cnfStyle w:val="000000100000" w:firstRow="0" w:lastRow="0" w:firstColumn="0" w:lastColumn="0" w:oddVBand="0" w:evenVBand="0" w:oddHBand="1" w:evenHBand="0" w:firstRowFirstColumn="0" w:firstRowLastColumn="0" w:lastRowFirstColumn="0" w:lastRowLastColumn="0"/>
                  </w:pPr>
                  <w:r w:rsidRPr="0009795B">
                    <w:t>0</w:t>
                  </w:r>
                </w:p>
              </w:tc>
              <w:tc>
                <w:tcPr>
                  <w:tcW w:w="1985" w:type="dxa"/>
                </w:tcPr>
                <w:p w14:paraId="5E8530A2" w14:textId="77777777" w:rsidR="00192068" w:rsidRPr="00F068B2" w:rsidRDefault="00192068" w:rsidP="008C07CF">
                  <w:pPr>
                    <w:cnfStyle w:val="000000100000" w:firstRow="0" w:lastRow="0" w:firstColumn="0" w:lastColumn="0" w:oddVBand="0" w:evenVBand="0" w:oddHBand="1" w:evenHBand="0" w:firstRowFirstColumn="0" w:firstRowLastColumn="0" w:lastRowFirstColumn="0" w:lastRowLastColumn="0"/>
                  </w:pPr>
                  <w:r w:rsidRPr="00F068B2">
                    <w:t>0</w:t>
                  </w:r>
                </w:p>
              </w:tc>
            </w:tr>
            <w:tr w:rsidR="00192068" w:rsidRPr="00F068B2" w14:paraId="29735559" w14:textId="77777777" w:rsidTr="00192068">
              <w:tc>
                <w:tcPr>
                  <w:cnfStyle w:val="001000000000" w:firstRow="0" w:lastRow="0" w:firstColumn="1" w:lastColumn="0" w:oddVBand="0" w:evenVBand="0" w:oddHBand="0" w:evenHBand="0" w:firstRowFirstColumn="0" w:firstRowLastColumn="0" w:lastRowFirstColumn="0" w:lastRowLastColumn="0"/>
                  <w:tcW w:w="1803" w:type="dxa"/>
                </w:tcPr>
                <w:p w14:paraId="598B5840" w14:textId="77777777" w:rsidR="00192068" w:rsidRPr="00F068B2" w:rsidRDefault="00192068" w:rsidP="008C07CF">
                  <w:r w:rsidRPr="00F068B2">
                    <w:t>TOTAL</w:t>
                  </w:r>
                </w:p>
              </w:tc>
              <w:tc>
                <w:tcPr>
                  <w:tcW w:w="3332" w:type="dxa"/>
                </w:tcPr>
                <w:p w14:paraId="51C57680" w14:textId="77777777" w:rsidR="00192068" w:rsidRPr="00F068B2" w:rsidRDefault="00192068" w:rsidP="008C07CF">
                  <w:pPr>
                    <w:cnfStyle w:val="000000000000" w:firstRow="0" w:lastRow="0" w:firstColumn="0" w:lastColumn="0" w:oddVBand="0" w:evenVBand="0" w:oddHBand="0" w:evenHBand="0" w:firstRowFirstColumn="0" w:firstRowLastColumn="0" w:lastRowFirstColumn="0" w:lastRowLastColumn="0"/>
                  </w:pPr>
                  <w:r w:rsidRPr="00F068B2">
                    <w:t>422</w:t>
                  </w:r>
                </w:p>
              </w:tc>
              <w:tc>
                <w:tcPr>
                  <w:tcW w:w="2126" w:type="dxa"/>
                </w:tcPr>
                <w:p w14:paraId="1F5FF1E1" w14:textId="77777777" w:rsidR="00192068" w:rsidRPr="0009795B" w:rsidRDefault="00192068" w:rsidP="008C07CF">
                  <w:pPr>
                    <w:cnfStyle w:val="000000000000" w:firstRow="0" w:lastRow="0" w:firstColumn="0" w:lastColumn="0" w:oddVBand="0" w:evenVBand="0" w:oddHBand="0" w:evenHBand="0" w:firstRowFirstColumn="0" w:firstRowLastColumn="0" w:lastRowFirstColumn="0" w:lastRowLastColumn="0"/>
                  </w:pPr>
                  <w:r w:rsidRPr="0009795B">
                    <w:t>358</w:t>
                  </w:r>
                </w:p>
              </w:tc>
              <w:tc>
                <w:tcPr>
                  <w:tcW w:w="1985" w:type="dxa"/>
                </w:tcPr>
                <w:p w14:paraId="3ECF155D" w14:textId="77777777" w:rsidR="00192068" w:rsidRPr="00F068B2" w:rsidRDefault="00192068" w:rsidP="008C07CF">
                  <w:pPr>
                    <w:cnfStyle w:val="000000000000" w:firstRow="0" w:lastRow="0" w:firstColumn="0" w:lastColumn="0" w:oddVBand="0" w:evenVBand="0" w:oddHBand="0" w:evenHBand="0" w:firstRowFirstColumn="0" w:firstRowLastColumn="0" w:lastRowFirstColumn="0" w:lastRowLastColumn="0"/>
                  </w:pPr>
                  <w:r w:rsidRPr="00F068B2">
                    <w:t>-64</w:t>
                  </w:r>
                </w:p>
              </w:tc>
            </w:tr>
          </w:tbl>
          <w:p w14:paraId="489DF286" w14:textId="77777777" w:rsidR="006B6E28" w:rsidRPr="000537CC" w:rsidRDefault="008F5CEE" w:rsidP="008C07CF">
            <w:pPr>
              <w:rPr>
                <w:sz w:val="22"/>
              </w:rPr>
            </w:pPr>
            <w:r w:rsidRPr="004460DE">
              <w:t xml:space="preserve">Source: </w:t>
            </w:r>
            <w:r w:rsidR="00157399">
              <w:t>2010/11 data supplied by DHET, Author’s recalculation</w:t>
            </w:r>
          </w:p>
          <w:p w14:paraId="6E6DEB8C" w14:textId="77777777" w:rsidR="004F15DB" w:rsidRPr="00396F69" w:rsidRDefault="008F5CEE" w:rsidP="008C07CF">
            <w:pPr>
              <w:rPr>
                <w:b/>
                <w:i/>
              </w:rPr>
            </w:pPr>
            <w:r w:rsidRPr="000537CC">
              <w:t xml:space="preserve">It is observed from the table that 8 SETAs had negative variances (FASSET, CTFL, FoodBev, ISETT, MQA, PSETA, THETA and W&amp;R SETA). </w:t>
            </w:r>
            <w:r w:rsidR="00FA128F">
              <w:t>Of all the SETAs, six</w:t>
            </w:r>
            <w:r w:rsidRPr="000537CC">
              <w:t xml:space="preserve"> had set targets with zero totals</w:t>
            </w:r>
            <w:r w:rsidR="0071621B" w:rsidRPr="000537CC">
              <w:t xml:space="preserve"> (CHIETA, ETDP, ESETA, HWSETA, INSETA and LGSETA)</w:t>
            </w:r>
            <w:r w:rsidR="00FA128F">
              <w:t>, which implies that they did not have projects in place</w:t>
            </w:r>
            <w:r w:rsidR="005B3398">
              <w:t xml:space="preserve">. Collectively, SETAs fell short of achieving their target of 358 by 64. Almost a sixth of the total. </w:t>
            </w:r>
          </w:p>
        </w:tc>
      </w:tr>
    </w:tbl>
    <w:p w14:paraId="46D0F1B3" w14:textId="77777777" w:rsidR="004E06E5" w:rsidRDefault="004E06E5" w:rsidP="008C07CF">
      <w:pPr>
        <w:pStyle w:val="ListParagraph"/>
      </w:pPr>
    </w:p>
    <w:p w14:paraId="58D54601" w14:textId="77777777" w:rsidR="00F716D0" w:rsidRPr="00061B9F" w:rsidRDefault="00CD76A1" w:rsidP="00061B9F">
      <w:pPr>
        <w:rPr>
          <w:b/>
        </w:rPr>
      </w:pPr>
      <w:r w:rsidRPr="00061B9F">
        <w:rPr>
          <w:b/>
        </w:rPr>
        <w:t>S</w:t>
      </w:r>
      <w:r w:rsidR="004830F2" w:rsidRPr="00061B9F">
        <w:rPr>
          <w:b/>
        </w:rPr>
        <w:t>UMMARY</w:t>
      </w:r>
    </w:p>
    <w:p w14:paraId="08EB7660" w14:textId="77777777" w:rsidR="00A348FE" w:rsidRPr="00D362D2" w:rsidRDefault="00A348FE" w:rsidP="008C07CF">
      <w:r w:rsidRPr="00D362D2">
        <w:t xml:space="preserve">The discussion above suggests that while the regulatory framework made it possible for the </w:t>
      </w:r>
      <w:r w:rsidR="00FA4C8E">
        <w:t xml:space="preserve">increased registration </w:t>
      </w:r>
      <w:r w:rsidRPr="00D362D2">
        <w:t>of cooperatives, the survival rate was too</w:t>
      </w:r>
      <w:r w:rsidR="00C56A20">
        <w:t xml:space="preserve"> low</w:t>
      </w:r>
      <w:r w:rsidR="0009795B">
        <w:t>, possibly</w:t>
      </w:r>
      <w:r w:rsidRPr="00D362D2">
        <w:t xml:space="preserve"> due to </w:t>
      </w:r>
      <w:r w:rsidR="00FA4C8E">
        <w:t xml:space="preserve">lack </w:t>
      </w:r>
      <w:r w:rsidRPr="00D362D2">
        <w:t xml:space="preserve">of </w:t>
      </w:r>
      <w:r w:rsidR="00FA4C8E">
        <w:t xml:space="preserve">capacity and </w:t>
      </w:r>
      <w:r w:rsidRPr="00D362D2">
        <w:t xml:space="preserve">support. </w:t>
      </w:r>
      <w:r w:rsidR="00FA4C8E">
        <w:t xml:space="preserve">The operations were reportedly not </w:t>
      </w:r>
      <w:r w:rsidRPr="00D362D2">
        <w:t>systemic</w:t>
      </w:r>
      <w:r w:rsidR="00FA4C8E">
        <w:t>ally</w:t>
      </w:r>
      <w:r w:rsidRPr="00D362D2">
        <w:t xml:space="preserve"> monito</w:t>
      </w:r>
      <w:r w:rsidR="0000485A">
        <w:t>red</w:t>
      </w:r>
      <w:r w:rsidR="00FA4C8E">
        <w:t>.</w:t>
      </w:r>
      <w:r w:rsidRPr="00D362D2">
        <w:t xml:space="preserve"> </w:t>
      </w:r>
      <w:r w:rsidR="00FA4C8E">
        <w:t>It is on record however, that i</w:t>
      </w:r>
      <w:r w:rsidR="00D362D2" w:rsidRPr="00D362D2">
        <w:t xml:space="preserve">ndividual SETAs and NSF had identified cooperatives and supported them with skills training. </w:t>
      </w:r>
      <w:r w:rsidR="00D362D2">
        <w:t>Wh</w:t>
      </w:r>
      <w:r w:rsidR="00470757">
        <w:t>ile it is not clear how these wer</w:t>
      </w:r>
      <w:r w:rsidR="00D362D2">
        <w:t>e tracked and supported</w:t>
      </w:r>
      <w:r w:rsidR="00FA4C8E">
        <w:t xml:space="preserve">, the DTI had identified some </w:t>
      </w:r>
      <w:r w:rsidR="00926033">
        <w:t xml:space="preserve">broad categories </w:t>
      </w:r>
      <w:r w:rsidR="00FA4C8E">
        <w:t xml:space="preserve">for </w:t>
      </w:r>
      <w:r w:rsidR="00036B2B">
        <w:t>intervention</w:t>
      </w:r>
      <w:r w:rsidR="00610B09">
        <w:t>, and target number of cooperatives, including both sector-specifi</w:t>
      </w:r>
      <w:r w:rsidR="00F30330">
        <w:t>c</w:t>
      </w:r>
      <w:r w:rsidR="00610B09">
        <w:t xml:space="preserve"> and cross-cutting skills </w:t>
      </w:r>
      <w:proofErr w:type="spellStart"/>
      <w:r w:rsidR="00036B2B">
        <w:t>programmes</w:t>
      </w:r>
      <w:proofErr w:type="spellEnd"/>
      <w:r w:rsidR="00036B2B">
        <w:t>.</w:t>
      </w:r>
      <w:r w:rsidR="00610B09">
        <w:t xml:space="preserve"> </w:t>
      </w:r>
    </w:p>
    <w:p w14:paraId="4C28E477" w14:textId="77777777" w:rsidR="0060394F" w:rsidRPr="00396F69" w:rsidRDefault="0060394F" w:rsidP="008C07CF">
      <w:r w:rsidRPr="00396F69">
        <w:t>Outcome 4.6.2</w:t>
      </w:r>
      <w:r w:rsidR="004747C8" w:rsidRPr="00396F69">
        <w:t xml:space="preserve">: </w:t>
      </w:r>
      <w:r w:rsidRPr="00396F69">
        <w:t>Partnership projects to provide training and development support to small businesses are established in all sectors and their impact reported on</w:t>
      </w:r>
      <w:r w:rsidR="002570B9" w:rsidRPr="00396F69">
        <w:t>.</w:t>
      </w:r>
    </w:p>
    <w:p w14:paraId="57D18DC8" w14:textId="77777777" w:rsidR="00CD42F7" w:rsidRDefault="00573756" w:rsidP="008C07CF">
      <w:r>
        <w:t>There is</w:t>
      </w:r>
      <w:r w:rsidR="00BC2CC0">
        <w:t xml:space="preserve"> a consensus </w:t>
      </w:r>
      <w:r w:rsidR="003617A3" w:rsidRPr="008E3D4D">
        <w:t xml:space="preserve">among policy makers, economists and </w:t>
      </w:r>
      <w:r w:rsidR="008E3D4D" w:rsidRPr="008E3D4D">
        <w:t xml:space="preserve">business experts that small and medium enterprises are drivers </w:t>
      </w:r>
      <w:r w:rsidR="00E62B83">
        <w:t>o</w:t>
      </w:r>
      <w:r w:rsidR="008E3D4D" w:rsidRPr="008E3D4D">
        <w:t xml:space="preserve">f economic growth. </w:t>
      </w:r>
      <w:r w:rsidR="009E360B">
        <w:t xml:space="preserve">Accordingly, South Africa has a </w:t>
      </w:r>
      <w:r w:rsidR="00036B2B">
        <w:t>relatively</w:t>
      </w:r>
      <w:r w:rsidR="009E360B">
        <w:t xml:space="preserve"> weak small and </w:t>
      </w:r>
      <w:r w:rsidR="00036B2B">
        <w:t>micro</w:t>
      </w:r>
      <w:r w:rsidR="009E360B">
        <w:t xml:space="preserve"> enterprise sector (EDD, 2011). </w:t>
      </w:r>
      <w:r w:rsidR="008E3D4D" w:rsidRPr="008E3D4D">
        <w:t xml:space="preserve">A </w:t>
      </w:r>
      <w:r w:rsidR="00BC2CC0">
        <w:t>study conducted in 2004 by the C</w:t>
      </w:r>
      <w:r w:rsidR="008E3D4D" w:rsidRPr="008E3D4D">
        <w:t>ompetition Commission revealed that ab</w:t>
      </w:r>
      <w:r w:rsidR="00BC2CC0">
        <w:t>o</w:t>
      </w:r>
      <w:r w:rsidR="008E3D4D" w:rsidRPr="008E3D4D">
        <w:t xml:space="preserve">ut 99.3% of South Africa’s businesses were </w:t>
      </w:r>
      <w:r>
        <w:t xml:space="preserve">SMMEs </w:t>
      </w:r>
      <w:r w:rsidR="008E3D4D" w:rsidRPr="008E3D4D">
        <w:t xml:space="preserve">and contributed 53.9% of employment and 34.8% to the </w:t>
      </w:r>
      <w:r w:rsidR="003F1BB1">
        <w:t>Growth Domestic-</w:t>
      </w:r>
      <w:r w:rsidR="008E3D4D" w:rsidRPr="008E3D4D">
        <w:t>GDP</w:t>
      </w:r>
      <w:r w:rsidR="00E62B83">
        <w:t xml:space="preserve"> (National Credit Regulator, 2011)</w:t>
      </w:r>
      <w:r w:rsidR="008E3D4D" w:rsidRPr="008E3D4D">
        <w:t xml:space="preserve">. </w:t>
      </w:r>
      <w:r w:rsidR="008E3D4D">
        <w:t>The survival of this sectors was considered vital for growth</w:t>
      </w:r>
      <w:r w:rsidR="00BC2CC0">
        <w:t>, sustainability of the economy</w:t>
      </w:r>
      <w:r w:rsidR="008E3D4D">
        <w:t xml:space="preserve"> and the creation of the </w:t>
      </w:r>
      <w:r w:rsidR="00036B2B">
        <w:t>much-needed</w:t>
      </w:r>
      <w:r w:rsidR="008E3D4D">
        <w:t xml:space="preserve"> jobs. Their survival, also depended on the ability of their owners to run them profitably. SETAs were mandated with </w:t>
      </w:r>
      <w:r w:rsidR="009F7199">
        <w:t>e</w:t>
      </w:r>
      <w:r w:rsidR="008E3D4D">
        <w:t xml:space="preserve">nsuring that they are provided with the necessary skills, through targeted and tailor-made </w:t>
      </w:r>
      <w:proofErr w:type="spellStart"/>
      <w:r w:rsidR="008E3D4D">
        <w:t>programmes</w:t>
      </w:r>
      <w:proofErr w:type="spellEnd"/>
      <w:r w:rsidR="008E3D4D">
        <w:t xml:space="preserve">. </w:t>
      </w:r>
    </w:p>
    <w:tbl>
      <w:tblPr>
        <w:tblStyle w:val="TableGrid"/>
        <w:tblW w:w="0" w:type="auto"/>
        <w:tblLook w:val="04A0" w:firstRow="1" w:lastRow="0" w:firstColumn="1" w:lastColumn="0" w:noHBand="0" w:noVBand="1"/>
      </w:tblPr>
      <w:tblGrid>
        <w:gridCol w:w="2022"/>
        <w:gridCol w:w="7328"/>
      </w:tblGrid>
      <w:tr w:rsidR="002B63AC" w:rsidRPr="00F47C02" w14:paraId="34DBE65F" w14:textId="77777777" w:rsidTr="00813248">
        <w:trPr>
          <w:tblHeader/>
        </w:trPr>
        <w:tc>
          <w:tcPr>
            <w:tcW w:w="9350" w:type="dxa"/>
            <w:gridSpan w:val="2"/>
            <w:shd w:val="clear" w:color="auto" w:fill="943634" w:themeFill="accent2" w:themeFillShade="BF"/>
          </w:tcPr>
          <w:p w14:paraId="1D3928B8" w14:textId="77777777" w:rsidR="002B63AC" w:rsidRPr="003F3AE8" w:rsidRDefault="002B63AC" w:rsidP="008C07CF">
            <w:r w:rsidRPr="00396F69">
              <w:lastRenderedPageBreak/>
              <w:t>Output 4.6.2.1:</w:t>
            </w:r>
            <w:r w:rsidRPr="00396F69">
              <w:tab/>
            </w:r>
            <w:r w:rsidRPr="00396F69">
              <w:rPr>
                <w:lang w:val="en-ZA"/>
              </w:rPr>
              <w:t>SETAs, through their skills planning research, identify the skills needs of small and emerging businesses in their sector, and promote relevant programmes.</w:t>
            </w:r>
          </w:p>
        </w:tc>
      </w:tr>
      <w:tr w:rsidR="002B63AC" w:rsidRPr="00F47C02" w14:paraId="1FEEE471" w14:textId="77777777" w:rsidTr="00813248">
        <w:tc>
          <w:tcPr>
            <w:tcW w:w="2022" w:type="dxa"/>
            <w:shd w:val="clear" w:color="auto" w:fill="D9D9D9" w:themeFill="background1" w:themeFillShade="D9"/>
          </w:tcPr>
          <w:p w14:paraId="7321A7F2" w14:textId="77777777" w:rsidR="002B63AC" w:rsidRPr="001F269C" w:rsidRDefault="002B63AC" w:rsidP="008C07CF">
            <w:r w:rsidRPr="00396F69">
              <w:rPr>
                <w:lang w:val="en-ZA"/>
              </w:rPr>
              <w:t>How many SETAs had identified the small and emerging businesses in their sector?</w:t>
            </w:r>
          </w:p>
        </w:tc>
        <w:tc>
          <w:tcPr>
            <w:tcW w:w="7328" w:type="dxa"/>
            <w:shd w:val="clear" w:color="auto" w:fill="auto"/>
          </w:tcPr>
          <w:p w14:paraId="6D34DC28" w14:textId="77777777" w:rsidR="002B63AC" w:rsidRDefault="004E06E5" w:rsidP="008C07CF">
            <w:pPr>
              <w:rPr>
                <w:rFonts w:cstheme="minorHAnsi"/>
                <w:sz w:val="22"/>
              </w:rPr>
            </w:pPr>
            <w:r>
              <w:t xml:space="preserve">All the SETAs had identified and reported the quantum of SMEs, their geographical spread in </w:t>
            </w:r>
            <w:r w:rsidR="008C07CF">
              <w:t>their</w:t>
            </w:r>
            <w:r>
              <w:t xml:space="preserve"> SSPs.</w:t>
            </w:r>
          </w:p>
        </w:tc>
      </w:tr>
      <w:tr w:rsidR="006D6FBD" w:rsidRPr="00F47C02" w14:paraId="006A546F" w14:textId="77777777" w:rsidTr="00813248">
        <w:tc>
          <w:tcPr>
            <w:tcW w:w="2022" w:type="dxa"/>
            <w:shd w:val="clear" w:color="auto" w:fill="D9D9D9" w:themeFill="background1" w:themeFillShade="D9"/>
          </w:tcPr>
          <w:p w14:paraId="2ABE8AE9" w14:textId="77777777" w:rsidR="006D6FBD" w:rsidRDefault="006D6FBD" w:rsidP="008C07CF">
            <w:pPr>
              <w:rPr>
                <w:lang w:val="en-ZA"/>
              </w:rPr>
            </w:pPr>
            <w:r w:rsidRPr="00396F69">
              <w:rPr>
                <w:lang w:val="en-ZA"/>
              </w:rPr>
              <w:t xml:space="preserve">How many had analysed their needs? </w:t>
            </w:r>
          </w:p>
          <w:p w14:paraId="6AE3C789" w14:textId="77777777" w:rsidR="006D6FBD" w:rsidRPr="00396F69" w:rsidRDefault="006D6FBD" w:rsidP="008C07CF">
            <w:pPr>
              <w:rPr>
                <w:lang w:val="en-ZA"/>
              </w:rPr>
            </w:pPr>
          </w:p>
        </w:tc>
        <w:tc>
          <w:tcPr>
            <w:tcW w:w="7328" w:type="dxa"/>
            <w:shd w:val="clear" w:color="auto" w:fill="auto"/>
          </w:tcPr>
          <w:p w14:paraId="3F6ACA21" w14:textId="77777777" w:rsidR="004E06E5" w:rsidRDefault="004E06E5" w:rsidP="008C07CF">
            <w:pPr>
              <w:rPr>
                <w:lang w:val="en-ZA"/>
              </w:rPr>
            </w:pPr>
            <w:r>
              <w:rPr>
                <w:lang w:val="en-ZA"/>
              </w:rPr>
              <w:t>Given that all SETAs with the exception of the PSETA received WSPs and ATRs from all employers sizes including  SMEs, it can be said that 22 out of 23 SETAs had analysed the skills needs of some SMEs in their respective sectors.</w:t>
            </w:r>
          </w:p>
          <w:p w14:paraId="7ED93B76" w14:textId="77777777" w:rsidR="004E06E5" w:rsidRDefault="004E06E5" w:rsidP="008C07CF">
            <w:pPr>
              <w:rPr>
                <w:lang w:val="en-ZA"/>
              </w:rPr>
            </w:pPr>
          </w:p>
          <w:p w14:paraId="6ECB1826" w14:textId="77777777" w:rsidR="004E06E5" w:rsidRDefault="004E06E5" w:rsidP="008C07CF">
            <w:pPr>
              <w:rPr>
                <w:lang w:val="en-ZA"/>
              </w:rPr>
            </w:pPr>
            <w:r>
              <w:rPr>
                <w:lang w:val="en-ZA"/>
              </w:rPr>
              <w:t>SETAs had targeted 23</w:t>
            </w:r>
            <w:r w:rsidR="00581E38">
              <w:rPr>
                <w:lang w:val="en-ZA"/>
              </w:rPr>
              <w:t xml:space="preserve"> </w:t>
            </w:r>
            <w:r>
              <w:rPr>
                <w:lang w:val="en-ZA"/>
              </w:rPr>
              <w:t xml:space="preserve">170 small levy-paying firms and received 27 962 applications. </w:t>
            </w:r>
            <w:r w:rsidRPr="00A51172">
              <w:rPr>
                <w:lang w:val="en-ZA"/>
              </w:rPr>
              <w:t xml:space="preserve">Collective data on SETA roll-out was hard to obtain and inconsistent reporting on these further complicated the determination of the exact numbers. For example, what was reported as small and emerging business were sometimes reported in isolation from new ventures or cooperatives. In some instances, they were </w:t>
            </w:r>
            <w:r>
              <w:rPr>
                <w:lang w:val="en-ZA"/>
              </w:rPr>
              <w:t xml:space="preserve">collectively </w:t>
            </w:r>
            <w:r w:rsidRPr="00A51172">
              <w:rPr>
                <w:lang w:val="en-ZA"/>
              </w:rPr>
              <w:t>reported</w:t>
            </w:r>
            <w:r>
              <w:rPr>
                <w:lang w:val="en-ZA"/>
              </w:rPr>
              <w:t xml:space="preserve"> as one</w:t>
            </w:r>
            <w:r w:rsidRPr="00A51172">
              <w:rPr>
                <w:lang w:val="en-ZA"/>
              </w:rPr>
              <w:t>. It would seem, that the interpretation of all these categories varied from one SETA to the other. For example, W&amp;R Seta reported funding about 148 cooperatives and over 4500 new ventures. ETDP reported BEE firms and cooperatives collectively, at the same time, reported having funded 446 small and emerging business</w:t>
            </w:r>
            <w:r>
              <w:rPr>
                <w:lang w:val="en-ZA"/>
              </w:rPr>
              <w:t>es</w:t>
            </w:r>
            <w:r w:rsidRPr="00A51172">
              <w:rPr>
                <w:lang w:val="en-ZA"/>
              </w:rPr>
              <w:t xml:space="preserve"> separately. FASSET reported having exceeded its targets in all categories of the firms; small, medium and large. More the 400 S</w:t>
            </w:r>
            <w:r>
              <w:rPr>
                <w:lang w:val="en-ZA"/>
              </w:rPr>
              <w:t>M</w:t>
            </w:r>
            <w:r w:rsidRPr="00A51172">
              <w:rPr>
                <w:lang w:val="en-ZA"/>
              </w:rPr>
              <w:t>ME</w:t>
            </w:r>
            <w:r>
              <w:rPr>
                <w:lang w:val="en-ZA"/>
              </w:rPr>
              <w:t>s</w:t>
            </w:r>
            <w:r w:rsidRPr="00A51172">
              <w:rPr>
                <w:lang w:val="en-ZA"/>
              </w:rPr>
              <w:t xml:space="preserve"> benefitted from FoodBev funding (FoodBev Annual Report, 2011).</w:t>
            </w:r>
          </w:p>
        </w:tc>
      </w:tr>
      <w:tr w:rsidR="006D6FBD" w:rsidRPr="00F47C02" w14:paraId="492EEA73" w14:textId="77777777" w:rsidTr="00813248">
        <w:tc>
          <w:tcPr>
            <w:tcW w:w="2022" w:type="dxa"/>
            <w:shd w:val="clear" w:color="auto" w:fill="D9D9D9" w:themeFill="background1" w:themeFillShade="D9"/>
          </w:tcPr>
          <w:p w14:paraId="0A35C5B9" w14:textId="77777777" w:rsidR="006D6FBD" w:rsidRPr="00396F69" w:rsidRDefault="006D6FBD" w:rsidP="008C07CF">
            <w:pPr>
              <w:rPr>
                <w:lang w:val="en-ZA"/>
              </w:rPr>
            </w:pPr>
            <w:r w:rsidRPr="00396F69">
              <w:rPr>
                <w:lang w:val="en-ZA"/>
              </w:rPr>
              <w:t>How many had developed programmes?</w:t>
            </w:r>
          </w:p>
        </w:tc>
        <w:tc>
          <w:tcPr>
            <w:tcW w:w="7328" w:type="dxa"/>
            <w:shd w:val="clear" w:color="auto" w:fill="auto"/>
          </w:tcPr>
          <w:p w14:paraId="4BEF01CE" w14:textId="0CD674D3" w:rsidR="006D6FBD" w:rsidRDefault="004E06E5" w:rsidP="008C07CF">
            <w:pPr>
              <w:rPr>
                <w:lang w:val="en-ZA"/>
              </w:rPr>
            </w:pPr>
            <w:r>
              <w:rPr>
                <w:lang w:val="en-ZA"/>
              </w:rPr>
              <w:t>It is unclear what programmes were developed specifically for SMEs</w:t>
            </w:r>
            <w:r w:rsidR="00581E38">
              <w:rPr>
                <w:lang w:val="en-ZA"/>
              </w:rPr>
              <w:t>.</w:t>
            </w:r>
            <w:r>
              <w:rPr>
                <w:lang w:val="en-ZA"/>
              </w:rPr>
              <w:t xml:space="preserve"> </w:t>
            </w:r>
            <w:r w:rsidR="00581E38">
              <w:rPr>
                <w:lang w:val="en-ZA"/>
              </w:rPr>
              <w:t>H</w:t>
            </w:r>
            <w:r>
              <w:rPr>
                <w:lang w:val="en-ZA"/>
              </w:rPr>
              <w:t>owever</w:t>
            </w:r>
            <w:r w:rsidR="00581E38">
              <w:rPr>
                <w:lang w:val="en-ZA"/>
              </w:rPr>
              <w:t>,</w:t>
            </w:r>
            <w:r>
              <w:rPr>
                <w:lang w:val="en-ZA"/>
              </w:rPr>
              <w:t xml:space="preserve"> there are SMEs that were supported by SETAs through various skills development interventions.</w:t>
            </w:r>
            <w:r w:rsidR="0009795B">
              <w:rPr>
                <w:lang w:val="en-ZA"/>
              </w:rPr>
              <w:t xml:space="preserve"> Three qualifications were developed and </w:t>
            </w:r>
            <w:proofErr w:type="spellStart"/>
            <w:r w:rsidR="0009795B">
              <w:rPr>
                <w:lang w:val="en-ZA"/>
              </w:rPr>
              <w:t>learnerships</w:t>
            </w:r>
            <w:proofErr w:type="spellEnd"/>
            <w:r w:rsidR="0009795B">
              <w:rPr>
                <w:lang w:val="en-ZA"/>
              </w:rPr>
              <w:t xml:space="preserve"> registered with the purpose of training small businesses or enterprises in business skills. One was a low level business administration programme and there were two New Venture Creation qualifications and levels 2 and 4 on the NQF. The Services SETA promoted these and a number of SETAs funded programmes. </w:t>
            </w:r>
          </w:p>
          <w:p w14:paraId="2B2518A3" w14:textId="77777777" w:rsidR="004E06E5" w:rsidRDefault="004E06E5" w:rsidP="008C07CF">
            <w:pPr>
              <w:rPr>
                <w:lang w:val="en-ZA"/>
              </w:rPr>
            </w:pPr>
          </w:p>
        </w:tc>
      </w:tr>
      <w:tr w:rsidR="006D6FBD" w:rsidRPr="00F47C02" w14:paraId="6249D0A7" w14:textId="77777777" w:rsidTr="00813248">
        <w:tc>
          <w:tcPr>
            <w:tcW w:w="2022" w:type="dxa"/>
            <w:shd w:val="clear" w:color="auto" w:fill="D9D9D9" w:themeFill="background1" w:themeFillShade="D9"/>
          </w:tcPr>
          <w:p w14:paraId="27E51153" w14:textId="77777777" w:rsidR="006D6FBD" w:rsidRPr="00396F69" w:rsidRDefault="006D6FBD" w:rsidP="008C07CF">
            <w:pPr>
              <w:rPr>
                <w:lang w:val="en-ZA"/>
              </w:rPr>
            </w:pPr>
            <w:r w:rsidRPr="00396F69">
              <w:rPr>
                <w:lang w:val="en-ZA"/>
              </w:rPr>
              <w:t>How many small and emergent businesses were being supported with skills development?</w:t>
            </w:r>
          </w:p>
        </w:tc>
        <w:tc>
          <w:tcPr>
            <w:tcW w:w="7328" w:type="dxa"/>
            <w:shd w:val="clear" w:color="auto" w:fill="auto"/>
          </w:tcPr>
          <w:p w14:paraId="19D664F0" w14:textId="1A4C7BC0" w:rsidR="004E06E5" w:rsidRDefault="004E06E5" w:rsidP="008C07CF">
            <w:pPr>
              <w:rPr>
                <w:lang w:val="en-ZA"/>
              </w:rPr>
            </w:pPr>
            <w:r>
              <w:rPr>
                <w:lang w:val="en-ZA"/>
              </w:rPr>
              <w:t xml:space="preserve">The DHET database suggests that overall, all SETAs had a target of supporting 4 354 small businesses and had a total of </w:t>
            </w:r>
            <w:r w:rsidR="00581E38">
              <w:rPr>
                <w:lang w:val="en-ZA"/>
              </w:rPr>
              <w:t xml:space="preserve">3 556 </w:t>
            </w:r>
            <w:r>
              <w:rPr>
                <w:lang w:val="en-ZA"/>
              </w:rPr>
              <w:t>were supported through various skills development interventions, with a negative variance of 798.</w:t>
            </w:r>
            <w:r w:rsidR="0009795B">
              <w:rPr>
                <w:lang w:val="en-ZA"/>
              </w:rPr>
              <w:t xml:space="preserve"> One of the difficulties in establishing figures is that the three qualifications referred to (business admin and NVC) were not always targeted at actual businesses. Very often they were </w:t>
            </w:r>
            <w:r w:rsidR="000E7BBF">
              <w:rPr>
                <w:lang w:val="en-ZA"/>
              </w:rPr>
              <w:t xml:space="preserve">driven by providers who recruited unemployed people who were either interested in establishing a business or more likely obtaining a stipend because the </w:t>
            </w:r>
            <w:r w:rsidR="000E7BBF">
              <w:rPr>
                <w:lang w:val="en-ZA"/>
              </w:rPr>
              <w:lastRenderedPageBreak/>
              <w:t xml:space="preserve">qualifications were delivered as </w:t>
            </w:r>
            <w:proofErr w:type="spellStart"/>
            <w:r w:rsidR="000E7BBF">
              <w:rPr>
                <w:lang w:val="en-ZA"/>
              </w:rPr>
              <w:t>learnerships</w:t>
            </w:r>
            <w:proofErr w:type="spellEnd"/>
            <w:r w:rsidR="000E7BBF">
              <w:rPr>
                <w:lang w:val="en-ZA"/>
              </w:rPr>
              <w:t xml:space="preserve">. Given the lack of tracking of learners generally by SETAs it would be difficult to determine whether the available statistics indicate individuals or enterprises. </w:t>
            </w:r>
          </w:p>
          <w:p w14:paraId="50EAFF1D" w14:textId="77777777" w:rsidR="006D6FBD" w:rsidRPr="00396F69" w:rsidRDefault="006D6FBD" w:rsidP="008C07CF">
            <w:pPr>
              <w:rPr>
                <w:lang w:val="en-ZA"/>
              </w:rPr>
            </w:pPr>
          </w:p>
        </w:tc>
      </w:tr>
    </w:tbl>
    <w:p w14:paraId="44D67DB2" w14:textId="77777777" w:rsidR="00CD42F7" w:rsidRDefault="00CD42F7" w:rsidP="008C07CF"/>
    <w:tbl>
      <w:tblPr>
        <w:tblStyle w:val="TableGrid"/>
        <w:tblW w:w="0" w:type="auto"/>
        <w:tblLook w:val="04A0" w:firstRow="1" w:lastRow="0" w:firstColumn="1" w:lastColumn="0" w:noHBand="0" w:noVBand="1"/>
      </w:tblPr>
      <w:tblGrid>
        <w:gridCol w:w="2022"/>
        <w:gridCol w:w="7328"/>
      </w:tblGrid>
      <w:tr w:rsidR="006D6FBD" w:rsidRPr="00F47C02" w14:paraId="7EA9A9B3" w14:textId="77777777" w:rsidTr="00813248">
        <w:trPr>
          <w:tblHeader/>
        </w:trPr>
        <w:tc>
          <w:tcPr>
            <w:tcW w:w="9350" w:type="dxa"/>
            <w:gridSpan w:val="2"/>
            <w:shd w:val="clear" w:color="auto" w:fill="943634" w:themeFill="accent2" w:themeFillShade="BF"/>
          </w:tcPr>
          <w:p w14:paraId="73A0E622" w14:textId="77777777" w:rsidR="006D6FBD" w:rsidRPr="003F3AE8" w:rsidRDefault="006D6FBD" w:rsidP="008C07CF">
            <w:r w:rsidRPr="00396F69">
              <w:t>Output 4.6.2.2:</w:t>
            </w:r>
            <w:r w:rsidRPr="00396F69">
              <w:rPr>
                <w:rFonts w:eastAsia="Times New Roman"/>
                <w:lang w:val="en-ZA" w:eastAsia="en-ZA"/>
              </w:rPr>
              <w:t xml:space="preserve"> </w:t>
            </w:r>
            <w:r w:rsidRPr="00396F69">
              <w:rPr>
                <w:lang w:val="en-ZA"/>
              </w:rPr>
              <w:t>Sector projects are developed that are piloted by SETAs and expanded through partnership funding.</w:t>
            </w:r>
          </w:p>
        </w:tc>
      </w:tr>
      <w:tr w:rsidR="006D6FBD" w:rsidRPr="00F47C02" w14:paraId="3B8E7A38" w14:textId="77777777" w:rsidTr="00813248">
        <w:tc>
          <w:tcPr>
            <w:tcW w:w="2022" w:type="dxa"/>
            <w:shd w:val="clear" w:color="auto" w:fill="D9D9D9" w:themeFill="background1" w:themeFillShade="D9"/>
          </w:tcPr>
          <w:p w14:paraId="4DE021E7" w14:textId="77777777" w:rsidR="006D6FBD" w:rsidRPr="001F269C" w:rsidRDefault="006D6FBD" w:rsidP="008C07CF">
            <w:r w:rsidRPr="00396F69">
              <w:rPr>
                <w:lang w:val="en-ZA"/>
              </w:rPr>
              <w:t>How many projects were established and how many pilots were in place?</w:t>
            </w:r>
          </w:p>
        </w:tc>
        <w:tc>
          <w:tcPr>
            <w:tcW w:w="7328" w:type="dxa"/>
            <w:shd w:val="clear" w:color="auto" w:fill="auto"/>
          </w:tcPr>
          <w:p w14:paraId="2A8167B9" w14:textId="77777777" w:rsidR="006D6FBD" w:rsidRDefault="006D6FBD" w:rsidP="008C07CF">
            <w:pPr>
              <w:rPr>
                <w:lang w:val="en-ZA"/>
              </w:rPr>
            </w:pPr>
            <w:r>
              <w:rPr>
                <w:lang w:val="en-ZA"/>
              </w:rPr>
              <w:t xml:space="preserve">Data emerging from various sources does not provide adequate details of pilot projects. </w:t>
            </w:r>
            <w:r w:rsidRPr="00396F69">
              <w:rPr>
                <w:lang w:val="en-ZA"/>
              </w:rPr>
              <w:t xml:space="preserve"> </w:t>
            </w:r>
          </w:p>
          <w:p w14:paraId="4174DEA7" w14:textId="77777777" w:rsidR="006D6FBD" w:rsidRDefault="006D6FBD" w:rsidP="008C07CF"/>
        </w:tc>
      </w:tr>
    </w:tbl>
    <w:p w14:paraId="63F3901B" w14:textId="77777777" w:rsidR="00CD42F7" w:rsidRDefault="00CD42F7" w:rsidP="008C07CF"/>
    <w:tbl>
      <w:tblPr>
        <w:tblStyle w:val="TableGrid"/>
        <w:tblW w:w="0" w:type="auto"/>
        <w:tblLook w:val="04A0" w:firstRow="1" w:lastRow="0" w:firstColumn="1" w:lastColumn="0" w:noHBand="0" w:noVBand="1"/>
      </w:tblPr>
      <w:tblGrid>
        <w:gridCol w:w="2022"/>
        <w:gridCol w:w="7328"/>
      </w:tblGrid>
      <w:tr w:rsidR="006D6FBD" w:rsidRPr="00F47C02" w14:paraId="314E0AE3" w14:textId="77777777" w:rsidTr="00813248">
        <w:trPr>
          <w:tblHeader/>
        </w:trPr>
        <w:tc>
          <w:tcPr>
            <w:tcW w:w="9350" w:type="dxa"/>
            <w:gridSpan w:val="2"/>
            <w:shd w:val="clear" w:color="auto" w:fill="943634" w:themeFill="accent2" w:themeFillShade="BF"/>
          </w:tcPr>
          <w:p w14:paraId="11EC4CE1" w14:textId="77777777" w:rsidR="006D6FBD" w:rsidRPr="003F3AE8" w:rsidRDefault="006D6FBD" w:rsidP="008C07CF">
            <w:r w:rsidRPr="00396F69">
              <w:t>Output 4.6.2.3:</w:t>
            </w:r>
            <w:r w:rsidRPr="00396F69">
              <w:rPr>
                <w:rFonts w:eastAsia="Times New Roman"/>
                <w:lang w:val="en-ZA" w:eastAsia="en-ZA"/>
              </w:rPr>
              <w:t xml:space="preserve"> N</w:t>
            </w:r>
            <w:r w:rsidRPr="00396F69">
              <w:rPr>
                <w:lang w:val="en-ZA"/>
              </w:rPr>
              <w:t>ational database of small businesses supported with skills development established and the impact of training reported on.</w:t>
            </w:r>
          </w:p>
        </w:tc>
      </w:tr>
      <w:tr w:rsidR="006D6FBD" w:rsidRPr="00F47C02" w14:paraId="6A46B19C" w14:textId="77777777" w:rsidTr="00813248">
        <w:tc>
          <w:tcPr>
            <w:tcW w:w="2022" w:type="dxa"/>
            <w:shd w:val="clear" w:color="auto" w:fill="D9D9D9" w:themeFill="background1" w:themeFillShade="D9"/>
          </w:tcPr>
          <w:p w14:paraId="1A047451" w14:textId="77777777" w:rsidR="006D6FBD" w:rsidRPr="001F269C" w:rsidRDefault="006D6FBD" w:rsidP="008C07CF">
            <w:r w:rsidRPr="00396F69">
              <w:rPr>
                <w:lang w:val="en-ZA"/>
              </w:rPr>
              <w:t>To what extent were small businesses being tracked nationally?</w:t>
            </w:r>
          </w:p>
        </w:tc>
        <w:tc>
          <w:tcPr>
            <w:tcW w:w="7328" w:type="dxa"/>
            <w:shd w:val="clear" w:color="auto" w:fill="auto"/>
          </w:tcPr>
          <w:p w14:paraId="37EF16B3" w14:textId="77777777" w:rsidR="006D6FBD" w:rsidRDefault="006D6FBD" w:rsidP="008C07CF">
            <w:r>
              <w:rPr>
                <w:lang w:val="en-ZA"/>
              </w:rPr>
              <w:t>There was no tracking being done</w:t>
            </w:r>
            <w:r>
              <w:t xml:space="preserve"> </w:t>
            </w:r>
          </w:p>
        </w:tc>
      </w:tr>
      <w:tr w:rsidR="006D6FBD" w:rsidRPr="00F47C02" w14:paraId="04DA3430" w14:textId="77777777" w:rsidTr="00813248">
        <w:tc>
          <w:tcPr>
            <w:tcW w:w="2022" w:type="dxa"/>
            <w:shd w:val="clear" w:color="auto" w:fill="D9D9D9" w:themeFill="background1" w:themeFillShade="D9"/>
          </w:tcPr>
          <w:p w14:paraId="35188CAF" w14:textId="77777777" w:rsidR="006D6FBD" w:rsidRPr="00396F69" w:rsidRDefault="006D6FBD" w:rsidP="008C07CF">
            <w:pPr>
              <w:rPr>
                <w:lang w:val="en-ZA"/>
              </w:rPr>
            </w:pPr>
            <w:r w:rsidRPr="00396F69">
              <w:rPr>
                <w:lang w:val="en-ZA"/>
              </w:rPr>
              <w:t>Was a database in place?</w:t>
            </w:r>
          </w:p>
        </w:tc>
        <w:tc>
          <w:tcPr>
            <w:tcW w:w="7328" w:type="dxa"/>
            <w:shd w:val="clear" w:color="auto" w:fill="auto"/>
          </w:tcPr>
          <w:p w14:paraId="09D9D558" w14:textId="77777777" w:rsidR="006D6FBD" w:rsidRDefault="006D6FBD" w:rsidP="008C07CF">
            <w:pPr>
              <w:rPr>
                <w:rFonts w:eastAsia="Times New Roman"/>
                <w:lang w:val="en-ZA"/>
              </w:rPr>
            </w:pPr>
            <w:r w:rsidRPr="00396F69">
              <w:t>No database was in place</w:t>
            </w:r>
          </w:p>
        </w:tc>
      </w:tr>
    </w:tbl>
    <w:p w14:paraId="4210D726" w14:textId="77777777" w:rsidR="00CD42F7" w:rsidRDefault="00CD42F7" w:rsidP="008C07CF"/>
    <w:p w14:paraId="1B1AB21C" w14:textId="77777777" w:rsidR="00674EAD" w:rsidRPr="006D6FBD" w:rsidRDefault="004009F2" w:rsidP="008C07CF">
      <w:r w:rsidRPr="006D6FBD">
        <w:t>S</w:t>
      </w:r>
      <w:r w:rsidR="004830F2" w:rsidRPr="006D6FBD">
        <w:t>UMMARY</w:t>
      </w:r>
    </w:p>
    <w:p w14:paraId="6A2FA5D3" w14:textId="77777777" w:rsidR="00165D70" w:rsidRDefault="00A461E4" w:rsidP="008C07CF">
      <w:pPr>
        <w:rPr>
          <w:b/>
          <w:i/>
        </w:rPr>
      </w:pPr>
      <w:r w:rsidRPr="006D6FBD">
        <w:rPr>
          <w:lang w:val="en"/>
        </w:rPr>
        <w:t xml:space="preserve">The </w:t>
      </w:r>
      <w:r w:rsidR="00036B2B" w:rsidRPr="006D6FBD">
        <w:rPr>
          <w:lang w:val="en"/>
        </w:rPr>
        <w:t>baseline</w:t>
      </w:r>
      <w:r w:rsidRPr="006D6FBD">
        <w:rPr>
          <w:lang w:val="en"/>
        </w:rPr>
        <w:t xml:space="preserve"> study observed that there was no systemic tracking and monitoring mechanism for small</w:t>
      </w:r>
      <w:r>
        <w:t xml:space="preserve"> business activities</w:t>
      </w:r>
      <w:r w:rsidR="00915666">
        <w:t xml:space="preserve">. </w:t>
      </w:r>
      <w:r w:rsidR="00DD5B0B">
        <w:t xml:space="preserve">It was </w:t>
      </w:r>
      <w:r w:rsidR="00915666">
        <w:t xml:space="preserve">however </w:t>
      </w:r>
      <w:r w:rsidR="00DD5B0B">
        <w:t xml:space="preserve">reported that despite higher registration rate, </w:t>
      </w:r>
      <w:r w:rsidR="00036B2B">
        <w:t>most</w:t>
      </w:r>
      <w:r>
        <w:t xml:space="preserve"> small businesses became dormant due to lack of support. </w:t>
      </w:r>
      <w:r w:rsidR="0069502C">
        <w:t xml:space="preserve">Funding </w:t>
      </w:r>
      <w:r w:rsidR="00DD5B0B">
        <w:t xml:space="preserve">was </w:t>
      </w:r>
      <w:r w:rsidR="00D74830">
        <w:t>not</w:t>
      </w:r>
      <w:r w:rsidR="0069502C">
        <w:t xml:space="preserve"> easily</w:t>
      </w:r>
      <w:r w:rsidR="00D74830">
        <w:t xml:space="preserve"> accessible </w:t>
      </w:r>
      <w:r w:rsidR="00DD5B0B">
        <w:t xml:space="preserve">for </w:t>
      </w:r>
      <w:r w:rsidR="00D74830">
        <w:t xml:space="preserve">majority of </w:t>
      </w:r>
      <w:r w:rsidR="00DD5B0B">
        <w:t>SMMEs</w:t>
      </w:r>
      <w:r w:rsidR="00D74830">
        <w:t xml:space="preserve">, largely because of systemic bottle-necks </w:t>
      </w:r>
      <w:r>
        <w:t xml:space="preserve">that </w:t>
      </w:r>
      <w:r w:rsidR="00036B2B">
        <w:t>characterize</w:t>
      </w:r>
      <w:r>
        <w:t xml:space="preserve"> SETA</w:t>
      </w:r>
      <w:r w:rsidR="000E7BBF">
        <w:t>s</w:t>
      </w:r>
      <w:r>
        <w:t>’</w:t>
      </w:r>
      <w:r w:rsidR="0069502C">
        <w:t xml:space="preserve"> </w:t>
      </w:r>
      <w:r w:rsidR="00DD5B0B">
        <w:t xml:space="preserve">grants application </w:t>
      </w:r>
      <w:r w:rsidR="00036B2B">
        <w:t>procedures</w:t>
      </w:r>
      <w:r w:rsidR="0069502C">
        <w:t xml:space="preserve">. </w:t>
      </w:r>
    </w:p>
    <w:p w14:paraId="40F97EB2" w14:textId="77777777" w:rsidR="0068202F" w:rsidRPr="004C2AE1" w:rsidRDefault="00C97D62" w:rsidP="008C07CF">
      <w:r w:rsidRPr="00AA4BA0">
        <w:t>Outcome 4.6.3</w:t>
      </w:r>
      <w:r w:rsidR="00674EAD" w:rsidRPr="00AA4BA0">
        <w:t xml:space="preserve">: </w:t>
      </w:r>
      <w:r w:rsidRPr="00AA4BA0">
        <w:t xml:space="preserve">Worker, NGO and community-based education </w:t>
      </w:r>
      <w:proofErr w:type="spellStart"/>
      <w:r w:rsidRPr="00AA4BA0">
        <w:t>programmes</w:t>
      </w:r>
      <w:proofErr w:type="spellEnd"/>
      <w:r w:rsidRPr="00AA4BA0">
        <w:t xml:space="preserve"> are supported</w:t>
      </w:r>
      <w:r w:rsidR="00EB0448" w:rsidRPr="00AA4BA0">
        <w:t xml:space="preserve"> </w:t>
      </w:r>
      <w:r w:rsidRPr="00AA4BA0">
        <w:t>and their impact measured and reported on</w:t>
      </w:r>
      <w:r w:rsidR="00EB0448" w:rsidRPr="00AA4BA0">
        <w:t xml:space="preserve">. </w:t>
      </w:r>
    </w:p>
    <w:p w14:paraId="3E7E53D9" w14:textId="77777777" w:rsidR="00674EAD" w:rsidRDefault="00183D35" w:rsidP="008C07CF">
      <w:pPr>
        <w:rPr>
          <w:lang w:val="en"/>
        </w:rPr>
      </w:pPr>
      <w:r>
        <w:rPr>
          <w:lang w:val="en"/>
        </w:rPr>
        <w:t xml:space="preserve">For the period under review, South Africa had </w:t>
      </w:r>
      <w:r w:rsidRPr="00183D35">
        <w:rPr>
          <w:lang w:val="en"/>
        </w:rPr>
        <w:t xml:space="preserve">more than 61 000 </w:t>
      </w:r>
      <w:r>
        <w:rPr>
          <w:lang w:val="en"/>
        </w:rPr>
        <w:t xml:space="preserve">registered </w:t>
      </w:r>
      <w:r w:rsidRPr="00183D35">
        <w:rPr>
          <w:lang w:val="en"/>
        </w:rPr>
        <w:t>NPOs</w:t>
      </w:r>
      <w:r>
        <w:rPr>
          <w:lang w:val="en"/>
        </w:rPr>
        <w:t xml:space="preserve">, and there </w:t>
      </w:r>
      <w:r w:rsidR="00573756">
        <w:rPr>
          <w:lang w:val="en"/>
        </w:rPr>
        <w:t>we</w:t>
      </w:r>
      <w:r w:rsidRPr="00183D35">
        <w:rPr>
          <w:lang w:val="en"/>
        </w:rPr>
        <w:t xml:space="preserve">re more than 12 000 new registrations annually. </w:t>
      </w:r>
      <w:r>
        <w:rPr>
          <w:lang w:val="en"/>
        </w:rPr>
        <w:t xml:space="preserve">Of these, </w:t>
      </w:r>
      <w:r w:rsidR="00573756">
        <w:rPr>
          <w:lang w:val="en"/>
        </w:rPr>
        <w:t>33 percent w</w:t>
      </w:r>
      <w:r w:rsidR="001267BE">
        <w:rPr>
          <w:lang w:val="en"/>
        </w:rPr>
        <w:t>e</w:t>
      </w:r>
      <w:r w:rsidRPr="00183D35">
        <w:rPr>
          <w:lang w:val="en"/>
        </w:rPr>
        <w:t>re in social services</w:t>
      </w:r>
      <w:r w:rsidR="00C10435">
        <w:rPr>
          <w:lang w:val="en"/>
        </w:rPr>
        <w:t xml:space="preserve">; </w:t>
      </w:r>
      <w:r w:rsidRPr="00183D35">
        <w:rPr>
          <w:lang w:val="en"/>
        </w:rPr>
        <w:t>the aged, children, the disabled, poverty relief, early childhood d</w:t>
      </w:r>
      <w:r w:rsidR="00C10435">
        <w:rPr>
          <w:lang w:val="en"/>
        </w:rPr>
        <w:t>evelopment, gender and so forth</w:t>
      </w:r>
      <w:r w:rsidRPr="00183D35">
        <w:rPr>
          <w:lang w:val="en"/>
        </w:rPr>
        <w:t>.</w:t>
      </w:r>
      <w:r w:rsidR="00C10435">
        <w:rPr>
          <w:lang w:val="en"/>
        </w:rPr>
        <w:t xml:space="preserve"> It was observed then that </w:t>
      </w:r>
      <w:r w:rsidR="00C10435" w:rsidRPr="00C10435">
        <w:rPr>
          <w:lang w:val="en"/>
        </w:rPr>
        <w:t xml:space="preserve">the benefits of the skills levy </w:t>
      </w:r>
      <w:r w:rsidR="00C10435">
        <w:rPr>
          <w:lang w:val="en"/>
        </w:rPr>
        <w:t>had</w:t>
      </w:r>
      <w:r w:rsidR="00C10435" w:rsidRPr="00C10435">
        <w:rPr>
          <w:lang w:val="en"/>
        </w:rPr>
        <w:t xml:space="preserve">n’t been harnessed by the </w:t>
      </w:r>
      <w:r w:rsidR="00C10435" w:rsidRPr="00C10435">
        <w:rPr>
          <w:lang w:val="en"/>
        </w:rPr>
        <w:lastRenderedPageBreak/>
        <w:t xml:space="preserve">non-profit sector on the grand scale envisaged due to </w:t>
      </w:r>
      <w:r w:rsidR="00C10435">
        <w:rPr>
          <w:lang w:val="en"/>
        </w:rPr>
        <w:t>administrative compliance regiment within the SETAs</w:t>
      </w:r>
      <w:r w:rsidR="00C10435" w:rsidRPr="00C10435">
        <w:rPr>
          <w:lang w:val="en"/>
        </w:rPr>
        <w:t xml:space="preserve">. </w:t>
      </w:r>
      <w:r w:rsidR="00036B2B" w:rsidRPr="00C10435">
        <w:rPr>
          <w:lang w:val="en"/>
        </w:rPr>
        <w:t>Most</w:t>
      </w:r>
      <w:r w:rsidR="00C10435" w:rsidRPr="00C10435">
        <w:rPr>
          <w:lang w:val="en"/>
        </w:rPr>
        <w:t xml:space="preserve"> </w:t>
      </w:r>
      <w:proofErr w:type="spellStart"/>
      <w:r w:rsidR="00C10435" w:rsidRPr="00C10435">
        <w:rPr>
          <w:lang w:val="en"/>
        </w:rPr>
        <w:t>organisations</w:t>
      </w:r>
      <w:proofErr w:type="spellEnd"/>
      <w:r w:rsidR="00C10435" w:rsidRPr="00C10435">
        <w:rPr>
          <w:lang w:val="en"/>
        </w:rPr>
        <w:t xml:space="preserve"> </w:t>
      </w:r>
      <w:r w:rsidR="00C10435">
        <w:rPr>
          <w:lang w:val="en"/>
        </w:rPr>
        <w:t xml:space="preserve">were </w:t>
      </w:r>
      <w:r w:rsidR="00C10435" w:rsidRPr="00C10435">
        <w:rPr>
          <w:lang w:val="en"/>
        </w:rPr>
        <w:t>encourag</w:t>
      </w:r>
      <w:r w:rsidR="00C10435">
        <w:rPr>
          <w:lang w:val="en"/>
        </w:rPr>
        <w:t>ing</w:t>
      </w:r>
      <w:r w:rsidR="00C10435" w:rsidRPr="00C10435">
        <w:rPr>
          <w:lang w:val="en"/>
        </w:rPr>
        <w:t xml:space="preserve"> their staff and volunteers to attend short courses, receive attendance certificates and apply their new knowledge</w:t>
      </w:r>
      <w:r w:rsidR="00C10435">
        <w:rPr>
          <w:lang w:val="en"/>
        </w:rPr>
        <w:t xml:space="preserve"> (B</w:t>
      </w:r>
      <w:r w:rsidR="008D375F">
        <w:rPr>
          <w:lang w:val="en"/>
        </w:rPr>
        <w:t>r</w:t>
      </w:r>
      <w:r w:rsidR="00C10435">
        <w:rPr>
          <w:lang w:val="en"/>
        </w:rPr>
        <w:t>own, on-line publication)</w:t>
      </w:r>
      <w:r w:rsidR="00414226">
        <w:rPr>
          <w:lang w:val="en"/>
        </w:rPr>
        <w:t xml:space="preserve">. Worker Education refers to education organized by or on behalf of the organized </w:t>
      </w:r>
      <w:proofErr w:type="spellStart"/>
      <w:r w:rsidR="00414226">
        <w:rPr>
          <w:lang w:val="en"/>
        </w:rPr>
        <w:t>labour</w:t>
      </w:r>
      <w:proofErr w:type="spellEnd"/>
      <w:r w:rsidR="00414226">
        <w:rPr>
          <w:lang w:val="en"/>
        </w:rPr>
        <w:t xml:space="preserve"> movement for shop stewards, activists and members. It focuses on raising awareness of socio-economic and political issues facing workers. Often it is not linked to formal qualifications or credits towards SAQA registered qualifications. As such </w:t>
      </w:r>
      <w:r w:rsidR="00C131E4">
        <w:rPr>
          <w:lang w:val="en"/>
        </w:rPr>
        <w:t>many</w:t>
      </w:r>
      <w:r w:rsidR="00414226">
        <w:rPr>
          <w:lang w:val="en"/>
        </w:rPr>
        <w:t xml:space="preserve"> SETAs found it difficult to fund such </w:t>
      </w:r>
      <w:proofErr w:type="spellStart"/>
      <w:r w:rsidR="00414226">
        <w:rPr>
          <w:lang w:val="en"/>
        </w:rPr>
        <w:t>programmes</w:t>
      </w:r>
      <w:proofErr w:type="spellEnd"/>
      <w:r w:rsidR="00414226">
        <w:rPr>
          <w:lang w:val="en"/>
        </w:rPr>
        <w:t xml:space="preserve">. The trade unions were of the view in 2010 that this was a highly neglected area and made the case strongly to the HRD Council that there should be a funded project in support of worker education. It can safely be stated that the level of SETA and NSF funded training was extremely low, though the Department of </w:t>
      </w:r>
      <w:proofErr w:type="spellStart"/>
      <w:r w:rsidR="00414226">
        <w:rPr>
          <w:lang w:val="en"/>
        </w:rPr>
        <w:t>Labour</w:t>
      </w:r>
      <w:proofErr w:type="spellEnd"/>
      <w:r w:rsidR="00414226">
        <w:rPr>
          <w:lang w:val="en"/>
        </w:rPr>
        <w:t xml:space="preserve"> did provide a substantial </w:t>
      </w:r>
      <w:r w:rsidR="001F5EAE">
        <w:rPr>
          <w:lang w:val="en"/>
        </w:rPr>
        <w:t xml:space="preserve">annual </w:t>
      </w:r>
      <w:r w:rsidR="00414226">
        <w:rPr>
          <w:lang w:val="en"/>
        </w:rPr>
        <w:t xml:space="preserve">grant to </w:t>
      </w:r>
      <w:proofErr w:type="spellStart"/>
      <w:r w:rsidR="00414226">
        <w:rPr>
          <w:lang w:val="en"/>
        </w:rPr>
        <w:t>Ditsela</w:t>
      </w:r>
      <w:proofErr w:type="spellEnd"/>
      <w:r w:rsidR="00414226">
        <w:rPr>
          <w:lang w:val="en"/>
        </w:rPr>
        <w:t xml:space="preserve">, a training organization specifically focusing on the training needs of trade unions. </w:t>
      </w:r>
    </w:p>
    <w:tbl>
      <w:tblPr>
        <w:tblStyle w:val="TableGrid"/>
        <w:tblW w:w="0" w:type="auto"/>
        <w:tblLook w:val="04A0" w:firstRow="1" w:lastRow="0" w:firstColumn="1" w:lastColumn="0" w:noHBand="0" w:noVBand="1"/>
      </w:tblPr>
      <w:tblGrid>
        <w:gridCol w:w="2316"/>
        <w:gridCol w:w="7034"/>
      </w:tblGrid>
      <w:tr w:rsidR="006D6FBD" w:rsidRPr="00F47C02" w14:paraId="75AD6471" w14:textId="77777777" w:rsidTr="00813248">
        <w:trPr>
          <w:tblHeader/>
        </w:trPr>
        <w:tc>
          <w:tcPr>
            <w:tcW w:w="9350" w:type="dxa"/>
            <w:gridSpan w:val="2"/>
            <w:shd w:val="clear" w:color="auto" w:fill="943634" w:themeFill="accent2" w:themeFillShade="BF"/>
          </w:tcPr>
          <w:p w14:paraId="0F6375DD" w14:textId="77777777" w:rsidR="006D6FBD" w:rsidRPr="003F3AE8" w:rsidRDefault="006D6FBD" w:rsidP="008C07CF">
            <w:r>
              <w:t>O</w:t>
            </w:r>
            <w:r w:rsidRPr="00AA4BA0">
              <w:t>utput 4.6.3.1:</w:t>
            </w:r>
            <w:r w:rsidRPr="00AA4BA0">
              <w:rPr>
                <w:rFonts w:eastAsia="Times New Roman"/>
                <w:lang w:val="en-ZA" w:eastAsia="en-ZA"/>
              </w:rPr>
              <w:t xml:space="preserve"> </w:t>
            </w:r>
            <w:r w:rsidRPr="00AA4BA0">
              <w:rPr>
                <w:lang w:val="en-ZA"/>
              </w:rPr>
              <w:t>SETAs engage with trade unions, NGOs and community-based organisations in their sector and identify skills needs and strategies to address needs.</w:t>
            </w:r>
          </w:p>
        </w:tc>
      </w:tr>
      <w:tr w:rsidR="006D6FBD" w:rsidRPr="00F47C02" w14:paraId="7050E100" w14:textId="77777777" w:rsidTr="004E06E5">
        <w:tc>
          <w:tcPr>
            <w:tcW w:w="2316" w:type="dxa"/>
            <w:shd w:val="clear" w:color="auto" w:fill="D9D9D9" w:themeFill="background1" w:themeFillShade="D9"/>
          </w:tcPr>
          <w:p w14:paraId="17F335FE" w14:textId="77777777" w:rsidR="006D6FBD" w:rsidRPr="001F269C" w:rsidRDefault="006D6FBD" w:rsidP="008C07CF">
            <w:r w:rsidRPr="00AA4BA0">
              <w:rPr>
                <w:lang w:val="en-ZA"/>
              </w:rPr>
              <w:t>How many SETAs had identified NGOs, trade unions and community based organisations?</w:t>
            </w:r>
          </w:p>
        </w:tc>
        <w:tc>
          <w:tcPr>
            <w:tcW w:w="7034" w:type="dxa"/>
            <w:shd w:val="clear" w:color="auto" w:fill="auto"/>
          </w:tcPr>
          <w:p w14:paraId="686B1D53" w14:textId="77777777" w:rsidR="006D6FBD" w:rsidRDefault="006D6FBD" w:rsidP="008C07CF">
            <w:r>
              <w:t xml:space="preserve">About </w:t>
            </w:r>
            <w:r w:rsidRPr="00AA4BA0">
              <w:t xml:space="preserve">12 SETAS had identified the stakeholders, targeting mainly </w:t>
            </w:r>
            <w:r>
              <w:t xml:space="preserve">NLPEs, </w:t>
            </w:r>
            <w:r w:rsidRPr="00AA4BA0">
              <w:t>NGOs</w:t>
            </w:r>
            <w:r>
              <w:t xml:space="preserve"> and to some extent constituent partners</w:t>
            </w:r>
            <w:r w:rsidRPr="00AA4BA0">
              <w:t>.</w:t>
            </w:r>
            <w:r w:rsidR="00080A4D">
              <w:t xml:space="preserve"> Many SETAs were being approached during discretionary fund grant application processes and were awarded </w:t>
            </w:r>
            <w:r w:rsidR="005E1A87">
              <w:t xml:space="preserve">grants to NPOs and trade unions. </w:t>
            </w:r>
            <w:r w:rsidR="008C07CF">
              <w:t>However,</w:t>
            </w:r>
            <w:r w:rsidR="005E1A87">
              <w:t xml:space="preserve"> the processes themselves (due diligence </w:t>
            </w:r>
            <w:r w:rsidR="008C07CF">
              <w:t>etc.</w:t>
            </w:r>
            <w:r w:rsidR="005E1A87">
              <w:t xml:space="preserve">) were an obstacle to small non-levy paying </w:t>
            </w:r>
            <w:proofErr w:type="spellStart"/>
            <w:r w:rsidR="005E1A87">
              <w:t>organisations</w:t>
            </w:r>
            <w:proofErr w:type="spellEnd"/>
            <w:r w:rsidR="005E1A87">
              <w:t xml:space="preserve"> and community based providers. Also records were not kept that distinguished these groups of grant recipients. </w:t>
            </w:r>
          </w:p>
        </w:tc>
      </w:tr>
      <w:tr w:rsidR="006D6FBD" w:rsidRPr="00F47C02" w14:paraId="4BB87DF5" w14:textId="77777777" w:rsidTr="004E06E5">
        <w:tc>
          <w:tcPr>
            <w:tcW w:w="2316" w:type="dxa"/>
            <w:shd w:val="clear" w:color="auto" w:fill="D9D9D9" w:themeFill="background1" w:themeFillShade="D9"/>
          </w:tcPr>
          <w:p w14:paraId="69D4B3C2" w14:textId="77777777" w:rsidR="006D6FBD" w:rsidRPr="00AA4BA0" w:rsidRDefault="006D6FBD" w:rsidP="008C07CF">
            <w:pPr>
              <w:rPr>
                <w:lang w:val="en-ZA"/>
              </w:rPr>
            </w:pPr>
            <w:r w:rsidRPr="00AA4BA0">
              <w:rPr>
                <w:lang w:val="en-ZA"/>
              </w:rPr>
              <w:t>How many had documented their skills needs?</w:t>
            </w:r>
          </w:p>
        </w:tc>
        <w:tc>
          <w:tcPr>
            <w:tcW w:w="7034" w:type="dxa"/>
            <w:shd w:val="clear" w:color="auto" w:fill="auto"/>
          </w:tcPr>
          <w:p w14:paraId="200115EF" w14:textId="77777777" w:rsidR="006D6FBD" w:rsidRDefault="006D6FBD" w:rsidP="008C07CF">
            <w:pPr>
              <w:rPr>
                <w:lang w:val="en-ZA"/>
              </w:rPr>
            </w:pPr>
            <w:r>
              <w:rPr>
                <w:lang w:val="en-ZA"/>
              </w:rPr>
              <w:t>SETAs that established partnerships with their sectors stakeholders were reportedly able to identify capacity needs. Based on the intervention made by the SETAs, an assumption is made that the latter did identify and document the needs of stakeholders. How these were documented could not be verified. For example, ETDP</w:t>
            </w:r>
            <w:r w:rsidR="00581E38">
              <w:rPr>
                <w:lang w:val="en-ZA"/>
              </w:rPr>
              <w:t xml:space="preserve"> </w:t>
            </w:r>
            <w:r>
              <w:rPr>
                <w:lang w:val="en-ZA"/>
              </w:rPr>
              <w:t xml:space="preserve">SETA had a multitude of projects with different constituent organisations including; 11 FET colleges, Higher Education South Africa (HESA), unions such as National Health and Allied Workers Union (NEHAWU), CCEPPWAWU, SACCAWU and SADTU, the Independent Schools Association of South Africa (ISASA) ECD providers and about 7 universities. </w:t>
            </w:r>
            <w:proofErr w:type="spellStart"/>
            <w:r>
              <w:rPr>
                <w:lang w:val="en-ZA"/>
              </w:rPr>
              <w:t>AgriSETA</w:t>
            </w:r>
            <w:proofErr w:type="spellEnd"/>
            <w:r>
              <w:rPr>
                <w:lang w:val="en-ZA"/>
              </w:rPr>
              <w:t xml:space="preserve"> reported having established partnerships with about 60 NGOs while FoodBev supported about 115 NGOs (Annual Reports). FP&amp;M had a project aimed at assisting training providers to become accredited.</w:t>
            </w:r>
            <w:r w:rsidR="005E1A87">
              <w:rPr>
                <w:lang w:val="en-ZA"/>
              </w:rPr>
              <w:t xml:space="preserve"> Again the exact nature of the organisation being supported and the nature and impact of interventions was documented in a very limited manner. </w:t>
            </w:r>
          </w:p>
          <w:p w14:paraId="64B34059" w14:textId="77777777" w:rsidR="004E06E5" w:rsidRDefault="004E06E5" w:rsidP="008C07CF"/>
        </w:tc>
      </w:tr>
      <w:tr w:rsidR="006D6FBD" w:rsidRPr="00F47C02" w14:paraId="03DAB6F1" w14:textId="77777777" w:rsidTr="007E1772">
        <w:trPr>
          <w:trHeight w:val="1346"/>
        </w:trPr>
        <w:tc>
          <w:tcPr>
            <w:tcW w:w="2316" w:type="dxa"/>
            <w:shd w:val="clear" w:color="auto" w:fill="D9D9D9" w:themeFill="background1" w:themeFillShade="D9"/>
          </w:tcPr>
          <w:p w14:paraId="7FC501DB" w14:textId="77777777" w:rsidR="006D6FBD" w:rsidRPr="00AA4BA0" w:rsidRDefault="006D6FBD" w:rsidP="008C07CF">
            <w:pPr>
              <w:rPr>
                <w:lang w:val="en-ZA"/>
              </w:rPr>
            </w:pPr>
            <w:r w:rsidRPr="00AA4BA0">
              <w:rPr>
                <w:lang w:val="en-ZA"/>
              </w:rPr>
              <w:lastRenderedPageBreak/>
              <w:t>How many such organisations were benefiting from skills strategies in their sectors?</w:t>
            </w:r>
          </w:p>
        </w:tc>
        <w:tc>
          <w:tcPr>
            <w:tcW w:w="7034" w:type="dxa"/>
            <w:shd w:val="clear" w:color="auto" w:fill="auto"/>
          </w:tcPr>
          <w:p w14:paraId="43E5374E" w14:textId="77777777" w:rsidR="006D6FBD" w:rsidRDefault="006D6FBD" w:rsidP="008C07CF">
            <w:r>
              <w:t>A total of 15</w:t>
            </w:r>
            <w:r w:rsidR="00581E38">
              <w:t xml:space="preserve"> </w:t>
            </w:r>
            <w:r>
              <w:t xml:space="preserve">413 </w:t>
            </w:r>
            <w:proofErr w:type="spellStart"/>
            <w:r>
              <w:t>organisations</w:t>
            </w:r>
            <w:proofErr w:type="spellEnd"/>
            <w:r>
              <w:t xml:space="preserve"> benefitted from the SETAs in 2010/11. The </w:t>
            </w:r>
            <w:r w:rsidR="008C07CF">
              <w:t>breakdown</w:t>
            </w:r>
            <w:r>
              <w:t xml:space="preserve"> is as follows:</w:t>
            </w:r>
          </w:p>
          <w:p w14:paraId="4B8771D8" w14:textId="77777777" w:rsidR="006D6FBD" w:rsidRPr="002B63AC" w:rsidRDefault="006D6FBD" w:rsidP="008C07CF">
            <w:pPr>
              <w:pStyle w:val="ListParagraph"/>
              <w:numPr>
                <w:ilvl w:val="0"/>
                <w:numId w:val="40"/>
              </w:numPr>
              <w:rPr>
                <w:rFonts w:eastAsia="Times New Roman"/>
                <w:lang w:val="en-ZA"/>
              </w:rPr>
            </w:pPr>
            <w:r w:rsidRPr="002B63AC">
              <w:t>12 988 N</w:t>
            </w:r>
            <w:r>
              <w:t xml:space="preserve">on Levy Paying </w:t>
            </w:r>
            <w:r w:rsidRPr="002B63AC">
              <w:t>E</w:t>
            </w:r>
            <w:r>
              <w:t>ntities (NLPE)</w:t>
            </w:r>
            <w:r w:rsidRPr="002B63AC">
              <w:t xml:space="preserve">, </w:t>
            </w:r>
          </w:p>
          <w:p w14:paraId="26274263" w14:textId="77777777" w:rsidR="006D6FBD" w:rsidRPr="002B63AC" w:rsidRDefault="006D6FBD" w:rsidP="008C07CF">
            <w:pPr>
              <w:pStyle w:val="ListParagraph"/>
              <w:numPr>
                <w:ilvl w:val="0"/>
                <w:numId w:val="40"/>
              </w:numPr>
              <w:rPr>
                <w:rFonts w:eastAsia="Times New Roman"/>
                <w:lang w:val="en-ZA"/>
              </w:rPr>
            </w:pPr>
            <w:r w:rsidRPr="002B63AC">
              <w:t xml:space="preserve">1 208 NGOs, </w:t>
            </w:r>
          </w:p>
          <w:p w14:paraId="4B2A9E6A" w14:textId="77777777" w:rsidR="006D6FBD" w:rsidRPr="002B63AC" w:rsidRDefault="006D6FBD" w:rsidP="008C07CF">
            <w:pPr>
              <w:pStyle w:val="ListParagraph"/>
              <w:numPr>
                <w:ilvl w:val="0"/>
                <w:numId w:val="40"/>
              </w:numPr>
              <w:rPr>
                <w:rFonts w:eastAsia="Times New Roman"/>
                <w:lang w:val="en-ZA"/>
              </w:rPr>
            </w:pPr>
            <w:r w:rsidRPr="002B63AC">
              <w:t xml:space="preserve">669 CBOs and </w:t>
            </w:r>
          </w:p>
          <w:p w14:paraId="3D0C292A" w14:textId="77777777" w:rsidR="006D6FBD" w:rsidRPr="002B63AC" w:rsidRDefault="006D6FBD" w:rsidP="008C07CF">
            <w:pPr>
              <w:pStyle w:val="ListParagraph"/>
              <w:numPr>
                <w:ilvl w:val="0"/>
                <w:numId w:val="40"/>
              </w:numPr>
              <w:rPr>
                <w:rFonts w:eastAsia="Times New Roman"/>
                <w:lang w:val="en-ZA"/>
              </w:rPr>
            </w:pPr>
            <w:r w:rsidRPr="002B63AC">
              <w:t xml:space="preserve">548 CBC benefitted </w:t>
            </w:r>
          </w:p>
          <w:p w14:paraId="1694163D" w14:textId="77777777" w:rsidR="006D6FBD" w:rsidRPr="002B63AC" w:rsidRDefault="006D6FBD" w:rsidP="008C07CF">
            <w:pPr>
              <w:rPr>
                <w:lang w:val="en-ZA"/>
              </w:rPr>
            </w:pPr>
          </w:p>
          <w:p w14:paraId="4A25DDCE" w14:textId="77777777" w:rsidR="004E06E5" w:rsidRDefault="006D6FBD" w:rsidP="008C07CF">
            <w:r>
              <w:t>The</w:t>
            </w:r>
            <w:r w:rsidRPr="002B63AC">
              <w:t xml:space="preserve"> </w:t>
            </w:r>
            <w:r>
              <w:t xml:space="preserve">NLPEs </w:t>
            </w:r>
            <w:r w:rsidRPr="002B63AC">
              <w:t xml:space="preserve">represented about two-third of the total number of beneficiaries. </w:t>
            </w:r>
          </w:p>
          <w:p w14:paraId="29BAF1CB" w14:textId="77777777" w:rsidR="006D6FBD" w:rsidRPr="004E06E5" w:rsidRDefault="006D6FBD" w:rsidP="008C07CF">
            <w:r w:rsidRPr="002B63AC">
              <w:t xml:space="preserve"> </w:t>
            </w:r>
          </w:p>
        </w:tc>
      </w:tr>
    </w:tbl>
    <w:p w14:paraId="78A8E5E2" w14:textId="77777777" w:rsidR="006D6FBD" w:rsidRDefault="006D6FBD" w:rsidP="008C07CF">
      <w:pPr>
        <w:rPr>
          <w:lang w:val="en"/>
        </w:rPr>
      </w:pPr>
    </w:p>
    <w:tbl>
      <w:tblPr>
        <w:tblStyle w:val="TableGrid"/>
        <w:tblW w:w="0" w:type="auto"/>
        <w:tblLook w:val="04A0" w:firstRow="1" w:lastRow="0" w:firstColumn="1" w:lastColumn="0" w:noHBand="0" w:noVBand="1"/>
      </w:tblPr>
      <w:tblGrid>
        <w:gridCol w:w="2022"/>
        <w:gridCol w:w="7328"/>
      </w:tblGrid>
      <w:tr w:rsidR="006D6FBD" w:rsidRPr="00F47C02" w14:paraId="369AEDB6" w14:textId="77777777" w:rsidTr="00813248">
        <w:trPr>
          <w:tblHeader/>
        </w:trPr>
        <w:tc>
          <w:tcPr>
            <w:tcW w:w="9350" w:type="dxa"/>
            <w:gridSpan w:val="2"/>
            <w:shd w:val="clear" w:color="auto" w:fill="943634" w:themeFill="accent2" w:themeFillShade="BF"/>
          </w:tcPr>
          <w:p w14:paraId="028800FF" w14:textId="77777777" w:rsidR="006D6FBD" w:rsidRPr="003F3AE8" w:rsidRDefault="006D6FBD" w:rsidP="008C07CF">
            <w:r w:rsidRPr="00AA4BA0">
              <w:t>Output 4.6.3.2:</w:t>
            </w:r>
            <w:r w:rsidRPr="00AA4BA0">
              <w:rPr>
                <w:rFonts w:eastAsia="Times New Roman"/>
                <w:lang w:val="en-ZA" w:eastAsia="en-ZA"/>
              </w:rPr>
              <w:t xml:space="preserve"> </w:t>
            </w:r>
            <w:r w:rsidRPr="00AA4BA0">
              <w:rPr>
                <w:lang w:val="en-ZA"/>
              </w:rPr>
              <w:t>SETAs establish quality pilot projects.</w:t>
            </w:r>
          </w:p>
        </w:tc>
      </w:tr>
      <w:tr w:rsidR="006D6FBD" w:rsidRPr="00F47C02" w14:paraId="0FB87999" w14:textId="77777777" w:rsidTr="00813248">
        <w:tc>
          <w:tcPr>
            <w:tcW w:w="2022" w:type="dxa"/>
            <w:shd w:val="clear" w:color="auto" w:fill="D9D9D9" w:themeFill="background1" w:themeFillShade="D9"/>
          </w:tcPr>
          <w:p w14:paraId="709E2600" w14:textId="77777777" w:rsidR="006D6FBD" w:rsidRPr="001F269C" w:rsidRDefault="006D6FBD" w:rsidP="008C07CF">
            <w:r w:rsidRPr="00AA4BA0">
              <w:t>How many projects were being piloted?</w:t>
            </w:r>
          </w:p>
        </w:tc>
        <w:tc>
          <w:tcPr>
            <w:tcW w:w="7328" w:type="dxa"/>
            <w:shd w:val="clear" w:color="auto" w:fill="auto"/>
          </w:tcPr>
          <w:p w14:paraId="7E24B865" w14:textId="77777777" w:rsidR="006D6FBD" w:rsidRDefault="006D6FBD" w:rsidP="008C07CF">
            <w:r>
              <w:t>There is evidence that there were pilot projects</w:t>
            </w:r>
            <w:r w:rsidRPr="002377ED">
              <w:t xml:space="preserve"> in some of the SETA documents. </w:t>
            </w:r>
            <w:r>
              <w:t xml:space="preserve">However, it the absence of tracking mechanisms it was not possible for the baseline study to establish </w:t>
            </w:r>
            <w:r w:rsidR="005E1A87">
              <w:t xml:space="preserve">or quantify </w:t>
            </w:r>
            <w:r>
              <w:t xml:space="preserve">projects. </w:t>
            </w:r>
          </w:p>
          <w:p w14:paraId="61C2F832" w14:textId="77777777" w:rsidR="006D6FBD" w:rsidRDefault="006D6FBD" w:rsidP="008C07CF"/>
        </w:tc>
      </w:tr>
    </w:tbl>
    <w:p w14:paraId="331D977C" w14:textId="77777777" w:rsidR="006D6FBD" w:rsidRDefault="006D6FBD" w:rsidP="008C07CF">
      <w:pPr>
        <w:rPr>
          <w:lang w:val="en"/>
        </w:rPr>
      </w:pPr>
    </w:p>
    <w:tbl>
      <w:tblPr>
        <w:tblStyle w:val="TableGrid"/>
        <w:tblW w:w="0" w:type="auto"/>
        <w:tblLook w:val="04A0" w:firstRow="1" w:lastRow="0" w:firstColumn="1" w:lastColumn="0" w:noHBand="0" w:noVBand="1"/>
      </w:tblPr>
      <w:tblGrid>
        <w:gridCol w:w="2022"/>
        <w:gridCol w:w="7328"/>
      </w:tblGrid>
      <w:tr w:rsidR="006D6FBD" w:rsidRPr="00F47C02" w14:paraId="3F434D93" w14:textId="77777777" w:rsidTr="00813248">
        <w:trPr>
          <w:tblHeader/>
        </w:trPr>
        <w:tc>
          <w:tcPr>
            <w:tcW w:w="9350" w:type="dxa"/>
            <w:gridSpan w:val="2"/>
            <w:shd w:val="clear" w:color="auto" w:fill="943634" w:themeFill="accent2" w:themeFillShade="BF"/>
          </w:tcPr>
          <w:p w14:paraId="11492CAB" w14:textId="77777777" w:rsidR="006D6FBD" w:rsidRPr="003F3AE8" w:rsidRDefault="006D6FBD" w:rsidP="008C07CF">
            <w:r w:rsidRPr="00AA4BA0">
              <w:t>Output 4.6.3.3:</w:t>
            </w:r>
            <w:r w:rsidRPr="00AA4BA0">
              <w:rPr>
                <w:lang w:val="en-ZA" w:eastAsia="en-ZA"/>
              </w:rPr>
              <w:t xml:space="preserve"> </w:t>
            </w:r>
            <w:r w:rsidRPr="00AA4BA0">
              <w:rPr>
                <w:lang w:val="en-ZA" w:eastAsia="en-ZA"/>
              </w:rPr>
              <w:tab/>
              <w:t>Stakeholders expand successful projects with support from the NSF.</w:t>
            </w:r>
          </w:p>
        </w:tc>
      </w:tr>
      <w:tr w:rsidR="006D6FBD" w:rsidRPr="00F47C02" w14:paraId="16BBDC1E" w14:textId="77777777" w:rsidTr="00813248">
        <w:tc>
          <w:tcPr>
            <w:tcW w:w="2022" w:type="dxa"/>
            <w:shd w:val="clear" w:color="auto" w:fill="D9D9D9" w:themeFill="background1" w:themeFillShade="D9"/>
          </w:tcPr>
          <w:p w14:paraId="1403D5C0" w14:textId="77777777" w:rsidR="006D6FBD" w:rsidRPr="001F269C" w:rsidRDefault="006D6FBD" w:rsidP="008C07CF">
            <w:r w:rsidRPr="00AA4BA0">
              <w:rPr>
                <w:lang w:val="en-ZA"/>
              </w:rPr>
              <w:t>How many successful projects were identified?</w:t>
            </w:r>
          </w:p>
        </w:tc>
        <w:tc>
          <w:tcPr>
            <w:tcW w:w="7328" w:type="dxa"/>
            <w:shd w:val="clear" w:color="auto" w:fill="auto"/>
          </w:tcPr>
          <w:p w14:paraId="722BD5F4" w14:textId="77777777" w:rsidR="006D6FBD" w:rsidRDefault="006D6FBD" w:rsidP="008C07CF">
            <w:r w:rsidRPr="00AA4BA0">
              <w:t xml:space="preserve">A total number of 325 CBOs benefitted from skills development </w:t>
            </w:r>
            <w:proofErr w:type="spellStart"/>
            <w:r w:rsidRPr="00AA4BA0">
              <w:t>programme</w:t>
            </w:r>
            <w:proofErr w:type="spellEnd"/>
            <w:r w:rsidRPr="00AA4BA0">
              <w:t xml:space="preserve"> funded by NSF.</w:t>
            </w:r>
            <w:r>
              <w:t xml:space="preserve"> However, the impact of the intervention could not be easily verified. </w:t>
            </w:r>
          </w:p>
        </w:tc>
      </w:tr>
      <w:tr w:rsidR="006D6FBD" w:rsidRPr="00F47C02" w14:paraId="43A543E8" w14:textId="77777777" w:rsidTr="00813248">
        <w:tc>
          <w:tcPr>
            <w:tcW w:w="2022" w:type="dxa"/>
            <w:shd w:val="clear" w:color="auto" w:fill="D9D9D9" w:themeFill="background1" w:themeFillShade="D9"/>
          </w:tcPr>
          <w:p w14:paraId="3FF822B8" w14:textId="77777777" w:rsidR="006D6FBD" w:rsidRPr="00AA4BA0" w:rsidRDefault="006D6FBD" w:rsidP="008C07CF">
            <w:pPr>
              <w:rPr>
                <w:lang w:val="en-ZA"/>
              </w:rPr>
            </w:pPr>
            <w:r w:rsidRPr="00AA4BA0">
              <w:rPr>
                <w:lang w:val="en-ZA"/>
              </w:rPr>
              <w:t>How many pilot projects became bigger projects as a result of additional funding being found?</w:t>
            </w:r>
          </w:p>
        </w:tc>
        <w:tc>
          <w:tcPr>
            <w:tcW w:w="7328" w:type="dxa"/>
            <w:shd w:val="clear" w:color="auto" w:fill="auto"/>
          </w:tcPr>
          <w:p w14:paraId="2D58D30C" w14:textId="77777777" w:rsidR="006D6FBD" w:rsidRPr="00AA4BA0" w:rsidRDefault="006D6FBD" w:rsidP="008C07CF">
            <w:r w:rsidRPr="00152F8F">
              <w:rPr>
                <w:lang w:val="en-ZA"/>
              </w:rPr>
              <w:t>The baseline could not determine what constitute a ‘big project’ and therefore was not able to determine the number of such projects. It was observed though that the EPWP was successfully piloted.</w:t>
            </w:r>
          </w:p>
        </w:tc>
      </w:tr>
    </w:tbl>
    <w:p w14:paraId="362AFF3D" w14:textId="77777777" w:rsidR="006D6FBD" w:rsidRDefault="006D6FBD" w:rsidP="008C07CF">
      <w:pPr>
        <w:rPr>
          <w:lang w:val="en"/>
        </w:rPr>
      </w:pPr>
    </w:p>
    <w:p w14:paraId="2A8E867A" w14:textId="77777777" w:rsidR="00674EAD" w:rsidRPr="00AA4BA0" w:rsidRDefault="004830F2" w:rsidP="008C07CF">
      <w:pPr>
        <w:rPr>
          <w:lang w:val="en-ZA"/>
        </w:rPr>
      </w:pPr>
      <w:r>
        <w:rPr>
          <w:lang w:val="en-ZA"/>
        </w:rPr>
        <w:t>SUMMARY</w:t>
      </w:r>
    </w:p>
    <w:p w14:paraId="38C9BC74" w14:textId="77777777" w:rsidR="004C2AE1" w:rsidRPr="00050D59" w:rsidRDefault="00050D59" w:rsidP="008C07CF">
      <w:r w:rsidRPr="00050D59">
        <w:t xml:space="preserve">Evidence suggests that SETAs involvement in </w:t>
      </w:r>
      <w:r w:rsidR="005E1A87">
        <w:t>some sectors was relatively well established by 2010</w:t>
      </w:r>
      <w:r w:rsidRPr="00050D59">
        <w:t>,</w:t>
      </w:r>
      <w:r w:rsidR="002B63AC" w:rsidRPr="002B63AC">
        <w:t xml:space="preserve"> </w:t>
      </w:r>
      <w:r w:rsidR="005E1A87">
        <w:t xml:space="preserve">reportedly </w:t>
      </w:r>
      <w:r w:rsidR="002B63AC" w:rsidRPr="00050D59">
        <w:t xml:space="preserve">reaching over </w:t>
      </w:r>
      <w:r w:rsidR="002B63AC">
        <w:t xml:space="preserve">15,400 entities, </w:t>
      </w:r>
      <w:r w:rsidR="002B63AC" w:rsidRPr="00050D59">
        <w:t xml:space="preserve">75% of </w:t>
      </w:r>
      <w:r w:rsidR="002B63AC">
        <w:t>which were the NLPE</w:t>
      </w:r>
      <w:r w:rsidR="005E1A87">
        <w:t>s</w:t>
      </w:r>
      <w:r w:rsidR="000447BE">
        <w:t xml:space="preserve">. </w:t>
      </w:r>
      <w:r w:rsidR="00346171">
        <w:t xml:space="preserve">For the period under review, SETAs benefitted </w:t>
      </w:r>
      <w:r w:rsidR="00041E37">
        <w:rPr>
          <w:rFonts w:cstheme="minorHAnsi"/>
        </w:rPr>
        <w:t xml:space="preserve">12 988 NPLE, 1 208 NGOs, 669 CBOs and 548 CBC benefitted from SETAs support. In addition, about 325 </w:t>
      </w:r>
      <w:r w:rsidR="00041E37">
        <w:t xml:space="preserve">CBOs benefitted from </w:t>
      </w:r>
      <w:r w:rsidR="000447BE">
        <w:t>NSF fund</w:t>
      </w:r>
      <w:r w:rsidR="00041E37">
        <w:t>ing</w:t>
      </w:r>
      <w:r w:rsidR="000447BE">
        <w:t>-</w:t>
      </w:r>
      <w:r w:rsidRPr="00050D59">
        <w:t xml:space="preserve">projects were reportedly successful, with the EPWP singled-out as a success development. The baseline was unable to establish </w:t>
      </w:r>
      <w:r w:rsidR="00036B2B" w:rsidRPr="00050D59">
        <w:t xml:space="preserve">the </w:t>
      </w:r>
      <w:r w:rsidR="00036B2B">
        <w:t>total</w:t>
      </w:r>
      <w:r w:rsidR="000447BE">
        <w:t xml:space="preserve"> </w:t>
      </w:r>
      <w:r w:rsidRPr="00050D59">
        <w:t>number of pilot projects and their success rate</w:t>
      </w:r>
      <w:r w:rsidR="00041E37">
        <w:t xml:space="preserve"> though</w:t>
      </w:r>
      <w:r w:rsidRPr="00050D59">
        <w:t xml:space="preserve">. </w:t>
      </w:r>
    </w:p>
    <w:p w14:paraId="2E4F8895" w14:textId="77777777" w:rsidR="004C2AE1" w:rsidRPr="004C2AE1" w:rsidRDefault="004C2AE1" w:rsidP="008C07CF">
      <w:pPr>
        <w:pStyle w:val="Heading2"/>
      </w:pPr>
      <w:bookmarkStart w:id="29" w:name="_Toc488525875"/>
      <w:r w:rsidRPr="00AA4BA0">
        <w:rPr>
          <w:rFonts w:eastAsia="Times New Roman" w:cstheme="minorHAnsi"/>
          <w:lang w:val="en-ZA"/>
        </w:rPr>
        <w:lastRenderedPageBreak/>
        <w:t xml:space="preserve">Goal 7: </w:t>
      </w:r>
      <w:r w:rsidRPr="00AA4BA0">
        <w:t>Increasing public sector capacity for improved service delivery and</w:t>
      </w:r>
      <w:r>
        <w:t xml:space="preserve"> </w:t>
      </w:r>
      <w:r w:rsidRPr="00AA4BA0">
        <w:t>supporting the building of a developmental state</w:t>
      </w:r>
      <w:bookmarkEnd w:id="29"/>
    </w:p>
    <w:p w14:paraId="3C3778D2" w14:textId="77777777" w:rsidR="004C2AE1" w:rsidRDefault="004C2AE1" w:rsidP="008C07CF"/>
    <w:p w14:paraId="3722EF13" w14:textId="77777777" w:rsidR="00C608E2" w:rsidRPr="00AD3372" w:rsidRDefault="00C608E2" w:rsidP="008C07CF">
      <w:r w:rsidRPr="00AA4BA0">
        <w:t>Outcome 4.7.1</w:t>
      </w:r>
      <w:r w:rsidR="003949E3" w:rsidRPr="00AD3372">
        <w:t xml:space="preserve">. A </w:t>
      </w:r>
      <w:r w:rsidR="00036B2B" w:rsidRPr="00AD3372">
        <w:t>thor</w:t>
      </w:r>
      <w:r w:rsidR="00036B2B">
        <w:t>ou</w:t>
      </w:r>
      <w:r w:rsidR="00036B2B" w:rsidRPr="00AD3372">
        <w:t>gh</w:t>
      </w:r>
      <w:r w:rsidR="003949E3" w:rsidRPr="00AD3372">
        <w:t xml:space="preserve"> analysis and reflection is conducted on provision of education and training within the public sector and the contribution of the various sectors</w:t>
      </w:r>
    </w:p>
    <w:p w14:paraId="523A7D20" w14:textId="77777777" w:rsidR="00435FEF" w:rsidRDefault="00036B2B" w:rsidP="008C07CF">
      <w:r w:rsidRPr="009F6D41">
        <w:t>The</w:t>
      </w:r>
      <w:r w:rsidR="009F6D41" w:rsidRPr="009F6D41">
        <w:t xml:space="preserve"> PSETA </w:t>
      </w:r>
      <w:r w:rsidR="00A947E3">
        <w:t xml:space="preserve">was the custodian </w:t>
      </w:r>
      <w:r w:rsidR="009F6D41">
        <w:t xml:space="preserve">for the enhancement of ‘transversal’ skills </w:t>
      </w:r>
      <w:r w:rsidR="00446813">
        <w:t>(business of government) to meet the current and future needs of all national and provincial departments, public entities, parliament and legislature</w:t>
      </w:r>
      <w:r w:rsidR="00A947E3">
        <w:t xml:space="preserve">. </w:t>
      </w:r>
      <w:r w:rsidR="00EE6784">
        <w:t xml:space="preserve">It is mandated with the </w:t>
      </w:r>
      <w:r w:rsidR="00125B25">
        <w:t>responsibility</w:t>
      </w:r>
      <w:r w:rsidR="00EE6784">
        <w:t xml:space="preserve"> for “promoting skills development within the public service sector and participating parastatals and public entities, to facilitate, coordinate and monitor the effective development of educated, skilled and knowledgeable public sector workers that take responsibility for service excellence in the sector they represent” (PSETA Annual Report, 2010/11). </w:t>
      </w:r>
      <w:r w:rsidR="009F6D41">
        <w:t xml:space="preserve">In doing so, </w:t>
      </w:r>
      <w:r w:rsidR="004C7D8E">
        <w:t>t</w:t>
      </w:r>
      <w:r w:rsidR="00A947E3">
        <w:t xml:space="preserve">he SETA was </w:t>
      </w:r>
      <w:r w:rsidR="00B6146A">
        <w:t xml:space="preserve">expected to conduct a </w:t>
      </w:r>
      <w:r w:rsidR="00B6146A" w:rsidRPr="00AA4BA0">
        <w:rPr>
          <w:rFonts w:cstheme="minorHAnsi"/>
        </w:rPr>
        <w:t>thorough analysis and reflection on provision of education and training within the public sector and the contribution of the various role players</w:t>
      </w:r>
      <w:r w:rsidR="00B6146A" w:rsidRPr="00446813">
        <w:rPr>
          <w:rFonts w:cstheme="minorHAnsi"/>
        </w:rPr>
        <w:t xml:space="preserve">, including </w:t>
      </w:r>
      <w:r w:rsidR="00B6146A" w:rsidRPr="00446813">
        <w:t>Departments that have their line function SETAs such as Health, Education</w:t>
      </w:r>
      <w:r w:rsidR="00F861B9">
        <w:t xml:space="preserve">, Local </w:t>
      </w:r>
      <w:r>
        <w:t>Government</w:t>
      </w:r>
      <w:r w:rsidR="00F861B9">
        <w:t>,</w:t>
      </w:r>
      <w:r w:rsidR="00B6146A" w:rsidRPr="00446813">
        <w:t xml:space="preserve"> and Agriculture (Public Service Commission, 2009).</w:t>
      </w:r>
      <w:r w:rsidR="00B6146A">
        <w:t xml:space="preserve"> </w:t>
      </w:r>
    </w:p>
    <w:tbl>
      <w:tblPr>
        <w:tblStyle w:val="TableGrid"/>
        <w:tblW w:w="0" w:type="auto"/>
        <w:tblLook w:val="04A0" w:firstRow="1" w:lastRow="0" w:firstColumn="1" w:lastColumn="0" w:noHBand="0" w:noVBand="1"/>
      </w:tblPr>
      <w:tblGrid>
        <w:gridCol w:w="2022"/>
        <w:gridCol w:w="7328"/>
      </w:tblGrid>
      <w:tr w:rsidR="00C3298D" w:rsidRPr="00F47C02" w14:paraId="0FA543A1" w14:textId="77777777" w:rsidTr="00076022">
        <w:tc>
          <w:tcPr>
            <w:tcW w:w="9350" w:type="dxa"/>
            <w:gridSpan w:val="2"/>
            <w:shd w:val="clear" w:color="auto" w:fill="943634" w:themeFill="accent2" w:themeFillShade="BF"/>
          </w:tcPr>
          <w:p w14:paraId="28DF0A92" w14:textId="77777777" w:rsidR="00C3298D" w:rsidRPr="003F3AE8" w:rsidRDefault="00C3298D" w:rsidP="008C07CF">
            <w:r w:rsidRPr="00AA4BA0">
              <w:t>Output 4.7.1.1:</w:t>
            </w:r>
            <w:r w:rsidRPr="00AA4BA0">
              <w:tab/>
            </w:r>
            <w:r w:rsidRPr="00AA4BA0">
              <w:rPr>
                <w:lang w:val="en-ZA"/>
              </w:rPr>
              <w:t>SETAs with responsibility for public sector training conduct analysis and reflection on achievements and challenges.</w:t>
            </w:r>
          </w:p>
        </w:tc>
      </w:tr>
      <w:tr w:rsidR="00C3298D" w:rsidRPr="00F47C02" w14:paraId="16F53FAA" w14:textId="77777777" w:rsidTr="00076022">
        <w:tc>
          <w:tcPr>
            <w:tcW w:w="2022" w:type="dxa"/>
            <w:shd w:val="clear" w:color="auto" w:fill="D9D9D9" w:themeFill="background1" w:themeFillShade="D9"/>
          </w:tcPr>
          <w:p w14:paraId="522040FE" w14:textId="77777777" w:rsidR="00C3298D" w:rsidRPr="001F269C" w:rsidRDefault="00C3298D" w:rsidP="008C07CF">
            <w:r w:rsidRPr="00AA4BA0">
              <w:rPr>
                <w:lang w:val="en-ZA"/>
              </w:rPr>
              <w:t>How many SETAs had a public sector focus?</w:t>
            </w:r>
          </w:p>
        </w:tc>
        <w:tc>
          <w:tcPr>
            <w:tcW w:w="7328" w:type="dxa"/>
            <w:shd w:val="clear" w:color="auto" w:fill="auto"/>
          </w:tcPr>
          <w:p w14:paraId="3A6A3162" w14:textId="77777777" w:rsidR="00C3298D" w:rsidRDefault="008C5A53" w:rsidP="008C07CF">
            <w:r>
              <w:t xml:space="preserve">One of the challenges in identifying which SETAs have a government focus is that although all SETAs have some government interface some only have that in the context of policy direction, not responsibility for the departmental HRD. Also some SETAs may not have responsibility for a line Department. This would be the responsibility of PSETA. However even where PSETA is responsible for the department a line SETA may be responsible for the public entities of the Department. </w:t>
            </w:r>
            <w:r w:rsidR="008C07CF">
              <w:t>Sometimes</w:t>
            </w:r>
            <w:r>
              <w:t xml:space="preserve"> in annual reports these distinctions are not clear. </w:t>
            </w:r>
            <w:r w:rsidR="008C07CF">
              <w:t>However,</w:t>
            </w:r>
            <w:r>
              <w:t xml:space="preserve"> from the annual reports it would appear that some </w:t>
            </w:r>
            <w:r w:rsidR="00C3298D" w:rsidRPr="00AA4BA0">
              <w:t>13</w:t>
            </w:r>
            <w:r>
              <w:t xml:space="preserve"> of the 21</w:t>
            </w:r>
            <w:r w:rsidR="00C3298D" w:rsidRPr="00AA4BA0">
              <w:t xml:space="preserve"> SETAs had government departments and entities</w:t>
            </w:r>
            <w:r w:rsidR="005E1A87">
              <w:t xml:space="preserve"> as constituent employers</w:t>
            </w:r>
            <w:r w:rsidR="00C3298D" w:rsidRPr="00AA4BA0">
              <w:t>.</w:t>
            </w:r>
            <w:r w:rsidR="005E1A87">
              <w:t xml:space="preserve"> </w:t>
            </w:r>
          </w:p>
        </w:tc>
      </w:tr>
      <w:tr w:rsidR="00BA1A92" w:rsidRPr="00F47C02" w14:paraId="4256840F" w14:textId="77777777" w:rsidTr="00076022">
        <w:tc>
          <w:tcPr>
            <w:tcW w:w="2022" w:type="dxa"/>
            <w:shd w:val="clear" w:color="auto" w:fill="D9D9D9" w:themeFill="background1" w:themeFillShade="D9"/>
          </w:tcPr>
          <w:p w14:paraId="59982609" w14:textId="77777777" w:rsidR="00BA1A92" w:rsidRPr="00AA4BA0" w:rsidRDefault="00BA1A92" w:rsidP="008C07CF">
            <w:pPr>
              <w:rPr>
                <w:lang w:val="en-ZA"/>
              </w:rPr>
            </w:pPr>
            <w:r w:rsidRPr="00AA4BA0">
              <w:rPr>
                <w:lang w:val="en-ZA"/>
              </w:rPr>
              <w:t>How many had assessed the needs of the public sector?</w:t>
            </w:r>
          </w:p>
        </w:tc>
        <w:tc>
          <w:tcPr>
            <w:tcW w:w="7328" w:type="dxa"/>
            <w:shd w:val="clear" w:color="auto" w:fill="auto"/>
          </w:tcPr>
          <w:p w14:paraId="3CF819D6" w14:textId="033437F7" w:rsidR="00BA1A92" w:rsidRDefault="00BA1A92" w:rsidP="008C07CF">
            <w:r>
              <w:rPr>
                <w:lang w:val="en-ZA"/>
              </w:rPr>
              <w:t xml:space="preserve">SETAs had assessed their needs against the categories of occupations developed by the DOL. </w:t>
            </w:r>
            <w:r>
              <w:t xml:space="preserve">For example, the PSETA focused on the public sector across the system. However, PSETA did not assess </w:t>
            </w:r>
            <w:r>
              <w:rPr>
                <w:lang w:val="en-ZA"/>
              </w:rPr>
              <w:t xml:space="preserve">public sector needs </w:t>
            </w:r>
            <w:r w:rsidR="008C5A53">
              <w:rPr>
                <w:lang w:val="en-ZA"/>
              </w:rPr>
              <w:t>it</w:t>
            </w:r>
            <w:r>
              <w:rPr>
                <w:lang w:val="en-ZA"/>
              </w:rPr>
              <w:t xml:space="preserve">self. Instead, it relied on those profiled and submitted by individual department through their Expenditure Training Reports (ETRs) WSPs and ATRs. About 138 (89.6%) Departments submitted their WSPs and ATRs, while 102 ETRs and 77 QMRs were received from national and provincial departments (PSETA annual report 2010/2011). </w:t>
            </w:r>
            <w:r>
              <w:t>H&amp;W SETA focused on health and social welfare sector needs of the Departments of Health (</w:t>
            </w:r>
            <w:proofErr w:type="spellStart"/>
            <w:r>
              <w:t>DoH</w:t>
            </w:r>
            <w:proofErr w:type="spellEnd"/>
            <w:r>
              <w:t xml:space="preserve">) and Social Development </w:t>
            </w:r>
            <w:proofErr w:type="spellStart"/>
            <w:r>
              <w:t>DoSD</w:t>
            </w:r>
            <w:proofErr w:type="spellEnd"/>
            <w:r>
              <w:t xml:space="preserve">) and identified five skills need for both sectors combined; Home Based Care, HIV/AIDS </w:t>
            </w:r>
            <w:r>
              <w:lastRenderedPageBreak/>
              <w:t xml:space="preserve">Awareness, Basic cancelling, STI, TB and DOTS as well as Basic Health Promotion. </w:t>
            </w:r>
            <w:proofErr w:type="spellStart"/>
            <w:r>
              <w:t>AgriSETA</w:t>
            </w:r>
            <w:proofErr w:type="spellEnd"/>
            <w:r>
              <w:t xml:space="preserve"> targeted a range of departments that have impact on agriculture such as Rural Development and Land Reform (RDLR) and Agriculture, Forestry and Fisheries (DAFF) among others. ETDP focused on Education (DOE) and its service entities and constituencies while LG SETA focused particularly on the needs</w:t>
            </w:r>
            <w:r w:rsidR="008C5A53">
              <w:t xml:space="preserve"> of the local government sphere</w:t>
            </w:r>
            <w:r>
              <w:t xml:space="preserve">. Energy and Water </w:t>
            </w:r>
            <w:r w:rsidR="00581E38">
              <w:t xml:space="preserve">SETA </w:t>
            </w:r>
            <w:r>
              <w:t>focused largely on the industry side of the sector</w:t>
            </w:r>
            <w:r w:rsidR="008C5A53">
              <w:t xml:space="preserve"> but was also engaging continuously with the Departments of Energy and </w:t>
            </w:r>
            <w:r w:rsidR="007724FD">
              <w:t>W</w:t>
            </w:r>
            <w:r w:rsidR="008C5A53">
              <w:t xml:space="preserve">ater and was responsible for </w:t>
            </w:r>
            <w:r w:rsidR="00295A62">
              <w:t>ESKOM as a constituent employer</w:t>
            </w:r>
            <w:r>
              <w:t>.</w:t>
            </w:r>
          </w:p>
          <w:p w14:paraId="1503F62B" w14:textId="77777777" w:rsidR="00BA1A92" w:rsidRDefault="008C07CF" w:rsidP="008C07CF">
            <w:r>
              <w:t>PSETA Annual Report (2010/11) noted though, that the SETA could not verify the authenticity of the information contained in the reports submitted by the departments, and remarked that those reports could not be accepted as a true reflection of the skills development initiatives that had been implemented by the stakeholders.</w:t>
            </w:r>
          </w:p>
          <w:p w14:paraId="540797C7" w14:textId="77777777" w:rsidR="00165D70" w:rsidRPr="00AA4BA0" w:rsidRDefault="00165D70" w:rsidP="008C07CF"/>
        </w:tc>
      </w:tr>
    </w:tbl>
    <w:p w14:paraId="0C151A54" w14:textId="77777777" w:rsidR="00435FEF" w:rsidRDefault="00435FEF" w:rsidP="008C07CF"/>
    <w:tbl>
      <w:tblPr>
        <w:tblStyle w:val="TableGrid"/>
        <w:tblW w:w="0" w:type="auto"/>
        <w:tblLook w:val="04A0" w:firstRow="1" w:lastRow="0" w:firstColumn="1" w:lastColumn="0" w:noHBand="0" w:noVBand="1"/>
      </w:tblPr>
      <w:tblGrid>
        <w:gridCol w:w="2022"/>
        <w:gridCol w:w="7328"/>
      </w:tblGrid>
      <w:tr w:rsidR="004E06E5" w:rsidRPr="00F47C02" w14:paraId="2D3D96F4" w14:textId="77777777" w:rsidTr="00813248">
        <w:tc>
          <w:tcPr>
            <w:tcW w:w="9350" w:type="dxa"/>
            <w:gridSpan w:val="2"/>
            <w:shd w:val="clear" w:color="auto" w:fill="943634" w:themeFill="accent2" w:themeFillShade="BF"/>
          </w:tcPr>
          <w:p w14:paraId="209FCB0E" w14:textId="77777777" w:rsidR="004E06E5" w:rsidRPr="003F3AE8" w:rsidRDefault="004E06E5" w:rsidP="008C07CF">
            <w:r w:rsidRPr="00AA4BA0">
              <w:t>Output 4.7.1.2:</w:t>
            </w:r>
            <w:r w:rsidRPr="00AA4BA0">
              <w:tab/>
            </w:r>
            <w:r w:rsidRPr="00AA4BA0">
              <w:rPr>
                <w:lang w:val="en-ZA" w:eastAsia="en-ZA"/>
              </w:rPr>
              <w:t>DHET leads a discussion on factors impacting on provision and publishes proposals on improving the institutional framework for public sector education and training.</w:t>
            </w:r>
          </w:p>
        </w:tc>
      </w:tr>
      <w:tr w:rsidR="004E06E5" w:rsidRPr="00F47C02" w14:paraId="7C3A0F58" w14:textId="77777777" w:rsidTr="00813248">
        <w:tc>
          <w:tcPr>
            <w:tcW w:w="2022" w:type="dxa"/>
            <w:shd w:val="clear" w:color="auto" w:fill="D9D9D9" w:themeFill="background1" w:themeFillShade="D9"/>
          </w:tcPr>
          <w:p w14:paraId="2ED4D154" w14:textId="77777777" w:rsidR="004E06E5" w:rsidRPr="001F269C" w:rsidRDefault="004E06E5" w:rsidP="008C07CF">
            <w:r w:rsidRPr="00AA4BA0">
              <w:rPr>
                <w:lang w:val="en-ZA"/>
              </w:rPr>
              <w:t>To what extent was DHET leading a discussion on public sector training?</w:t>
            </w:r>
          </w:p>
        </w:tc>
        <w:tc>
          <w:tcPr>
            <w:tcW w:w="7328" w:type="dxa"/>
            <w:shd w:val="clear" w:color="auto" w:fill="auto"/>
          </w:tcPr>
          <w:p w14:paraId="356F5051" w14:textId="77777777" w:rsidR="004E06E5" w:rsidRDefault="004E06E5" w:rsidP="008C07CF">
            <w:pPr>
              <w:rPr>
                <w:lang w:val="en-ZA"/>
              </w:rPr>
            </w:pPr>
            <w:r>
              <w:rPr>
                <w:lang w:val="en-ZA"/>
              </w:rPr>
              <w:t>The DHET, DPSA and National Treasury established an Inter-Ministerial Task Team to determine the funding regiment for PSETA. At the time, PSETA was being funded by the Treasury through the Department of Public Service and Administration (DPSA). Key task for the Task Team was to assess the training budget of public service sector employers, the implication for the NSDS III for the sector and the roles of the DPSA that relate to the development of the SSP and its implementation (Annual Report 2010/11). It is noteworthy that PSETA did not receive the 10% of the 1% training allocation from its stakeholders (government departments), which all the other line-Department SETAs received, and was also not receiving the 10% of the 1% given to line function government SETAs.</w:t>
            </w:r>
          </w:p>
          <w:p w14:paraId="0A69143D" w14:textId="77777777" w:rsidR="004E06E5" w:rsidRDefault="004E06E5" w:rsidP="008C07CF"/>
        </w:tc>
      </w:tr>
    </w:tbl>
    <w:p w14:paraId="5A6BA318" w14:textId="77777777" w:rsidR="004E06E5" w:rsidRDefault="004E06E5" w:rsidP="008C07CF"/>
    <w:p w14:paraId="6E5CC0EF" w14:textId="77777777" w:rsidR="00FE5017" w:rsidRPr="00AA4BA0" w:rsidRDefault="004830F2" w:rsidP="008C07CF">
      <w:r>
        <w:t>SUMMARY</w:t>
      </w:r>
    </w:p>
    <w:p w14:paraId="77627C45" w14:textId="77777777" w:rsidR="004C73DF" w:rsidRPr="00AA4BA0" w:rsidRDefault="00036B2B" w:rsidP="008C07CF">
      <w:r>
        <w:t>O</w:t>
      </w:r>
      <w:r w:rsidR="001902C3">
        <w:t>ver half of the SETAs played a significant role in identify</w:t>
      </w:r>
      <w:r w:rsidR="00DA7B0F">
        <w:t>ing public service</w:t>
      </w:r>
      <w:r w:rsidR="00781503">
        <w:t>/sector</w:t>
      </w:r>
      <w:r w:rsidR="00DA7B0F">
        <w:t xml:space="preserve"> skills needs.</w:t>
      </w:r>
      <w:r w:rsidR="001902C3">
        <w:t xml:space="preserve"> The PSE</w:t>
      </w:r>
      <w:r w:rsidR="00781503">
        <w:t>TA relied on WSP</w:t>
      </w:r>
      <w:r w:rsidR="001902C3">
        <w:t>s and ATRs submitted by departments</w:t>
      </w:r>
      <w:r w:rsidR="00983562">
        <w:t xml:space="preserve">. </w:t>
      </w:r>
      <w:r w:rsidR="008C07CF">
        <w:t xml:space="preserve">The role of various </w:t>
      </w:r>
      <w:proofErr w:type="gramStart"/>
      <w:r w:rsidR="008C07CF">
        <w:t>line</w:t>
      </w:r>
      <w:proofErr w:type="gramEnd"/>
      <w:r w:rsidR="008C07CF">
        <w:t xml:space="preserve">-Departments is evident, and that the Inter-Ministerial Task Team was expected to establish a funding model for PSETA, also for the SETAs that had large government department responsibility but no access the “ring-fenced” 1% of HR allocated within the departments concerned. </w:t>
      </w:r>
      <w:r w:rsidR="003B1545">
        <w:t xml:space="preserve">Consideration is given to the expressed </w:t>
      </w:r>
      <w:r>
        <w:t>incapacities</w:t>
      </w:r>
      <w:r w:rsidR="003B1545">
        <w:t xml:space="preserve"> among the SETAs, </w:t>
      </w:r>
      <w:r w:rsidR="0069153B">
        <w:t xml:space="preserve">and </w:t>
      </w:r>
      <w:r w:rsidR="0069153B">
        <w:lastRenderedPageBreak/>
        <w:t xml:space="preserve">therefore it </w:t>
      </w:r>
      <w:r>
        <w:t>cannot</w:t>
      </w:r>
      <w:r w:rsidR="0069153B">
        <w:t xml:space="preserve"> be guaranteed that the skills iden</w:t>
      </w:r>
      <w:r>
        <w:t>tif</w:t>
      </w:r>
      <w:r w:rsidR="0069153B">
        <w:t>ied were adequately and satisfactorily researched.</w:t>
      </w:r>
      <w:r w:rsidR="001902C3">
        <w:t xml:space="preserve"> </w:t>
      </w:r>
      <w:r w:rsidR="00F2363D">
        <w:t xml:space="preserve">More importantly, PSETA did not have adequate research capacity, with only one researcher </w:t>
      </w:r>
      <w:r w:rsidR="00EE6784">
        <w:t>(PSETA Annual Report 2010/11)</w:t>
      </w:r>
      <w:r w:rsidR="00295A62">
        <w:t>. Because of the lack of funding it is probably fair to say that the PSETA was in a very poor state to carry out the huge task of researching and making plans to meet the skills needs of public service employees. Those SETAs with large line departments (ETDP, H&amp;W and SASSETA)</w:t>
      </w:r>
      <w:r w:rsidR="00EA5954">
        <w:t xml:space="preserve"> were able to reasonably research need from the 10% of 1% that they received to support “Admin”, as this could be a significant sum. </w:t>
      </w:r>
      <w:r w:rsidR="008C07CF">
        <w:t>However,</w:t>
      </w:r>
      <w:r w:rsidR="00EA5954">
        <w:t xml:space="preserve"> their ability to impact on skills </w:t>
      </w:r>
      <w:r w:rsidR="008C07CF">
        <w:t>within</w:t>
      </w:r>
      <w:r w:rsidR="00EA5954">
        <w:t xml:space="preserve"> their line departments was limited because of the fact that the “9%” of 1% remained in the department. </w:t>
      </w:r>
      <w:r w:rsidR="001902C3">
        <w:t xml:space="preserve"> </w:t>
      </w:r>
    </w:p>
    <w:p w14:paraId="18464F31" w14:textId="77777777" w:rsidR="008063C8" w:rsidRPr="009A40E1" w:rsidRDefault="008C31B8" w:rsidP="008C07CF">
      <w:r w:rsidRPr="00AA4BA0">
        <w:t>Outcome 4.7.2</w:t>
      </w:r>
      <w:r w:rsidR="001C5082" w:rsidRPr="00AA4BA0">
        <w:rPr>
          <w:lang w:val="en-ZA" w:eastAsia="en-ZA"/>
        </w:rPr>
        <w:t>:</w:t>
      </w:r>
      <w:r w:rsidR="001C5082" w:rsidRPr="009A40E1">
        <w:rPr>
          <w:lang w:val="en-ZA" w:eastAsia="en-ZA"/>
        </w:rPr>
        <w:t xml:space="preserve"> </w:t>
      </w:r>
      <w:r w:rsidRPr="009A40E1">
        <w:rPr>
          <w:lang w:val="en-ZA" w:eastAsia="en-ZA"/>
        </w:rPr>
        <w:t>Education and training plans for the public sector are revised and programmes are implemented to build capacity</w:t>
      </w:r>
      <w:r w:rsidR="00EA5954">
        <w:rPr>
          <w:lang w:val="en-ZA" w:eastAsia="en-ZA"/>
        </w:rPr>
        <w:t>.</w:t>
      </w:r>
      <w:r w:rsidR="008063C8" w:rsidRPr="009A40E1">
        <w:t xml:space="preserve"> </w:t>
      </w:r>
    </w:p>
    <w:p w14:paraId="5C58C279" w14:textId="77777777" w:rsidR="00A66EA1" w:rsidRDefault="00A66EA1" w:rsidP="008C07CF">
      <w:r>
        <w:t xml:space="preserve">The White Paper </w:t>
      </w:r>
      <w:r w:rsidR="00B02A84">
        <w:t xml:space="preserve">(2013) </w:t>
      </w:r>
      <w:r>
        <w:t xml:space="preserve">draws attention to the role of the public sector in creating opportunities for apprenticeships, </w:t>
      </w:r>
      <w:proofErr w:type="spellStart"/>
      <w:r>
        <w:t>learnerships</w:t>
      </w:r>
      <w:proofErr w:type="spellEnd"/>
      <w:r>
        <w:t xml:space="preserve"> and internships at various levels of government, and the much needed contribution of State Owned Entities (SOEs) to national skills </w:t>
      </w:r>
      <w:r w:rsidR="00EA5954">
        <w:t>develop</w:t>
      </w:r>
      <w:r>
        <w:t xml:space="preserve">ment efforts. </w:t>
      </w:r>
      <w:r w:rsidR="005E6807">
        <w:t xml:space="preserve">The White Paper builds on and explains in more detail what was intended in NSDS III. </w:t>
      </w:r>
      <w:r w:rsidR="00781503">
        <w:t>T</w:t>
      </w:r>
      <w:r w:rsidR="005E6807">
        <w:t xml:space="preserve">he challenges were very great. Not only was there a concern that to date the skills levels of public sector employees were not assessed as being adequate for the service delivery expectations placed on them, but the 2007 ANC conference would be expanding those expectations to include a more interventionist “developmental state” role. SETAs worked on plans for this but in most cases limited work had been done to define the skills that would be developed to achieve these ambitious goals, nor were there appropriate funding arrangements to enable any agreed </w:t>
      </w:r>
      <w:proofErr w:type="spellStart"/>
      <w:r w:rsidR="005E6807">
        <w:t>programmes</w:t>
      </w:r>
      <w:proofErr w:type="spellEnd"/>
      <w:r w:rsidR="005E6807">
        <w:t xml:space="preserve">. </w:t>
      </w:r>
    </w:p>
    <w:p w14:paraId="54297439" w14:textId="77777777" w:rsidR="0077477C" w:rsidRDefault="00F2077B" w:rsidP="008C07CF">
      <w:r w:rsidRPr="00F2077B">
        <w:t xml:space="preserve">The PSETA was </w:t>
      </w:r>
      <w:r w:rsidR="0077477C">
        <w:t xml:space="preserve">responsible for 48 government </w:t>
      </w:r>
      <w:r w:rsidR="009A40E1">
        <w:t>trades and was</w:t>
      </w:r>
      <w:r w:rsidR="00423ECA">
        <w:t xml:space="preserve"> wholly</w:t>
      </w:r>
      <w:r w:rsidR="0077477C">
        <w:t xml:space="preserve"> funded by the Treasury through the DPSA. It was in 2010 that the Higher Education and Training Minister appointed a Ministerial Task Team to develop a funding model for the SETA. It is noteworthy that due to lapses in governance and operations, the PSETA was eventually placed under administration in </w:t>
      </w:r>
      <w:r w:rsidR="000E5175">
        <w:t xml:space="preserve">October </w:t>
      </w:r>
      <w:r w:rsidR="0077477C">
        <w:t>2010 and re-</w:t>
      </w:r>
      <w:r w:rsidR="00036B2B">
        <w:t>certificated</w:t>
      </w:r>
      <w:r w:rsidR="0077477C">
        <w:t xml:space="preserve"> on the 1</w:t>
      </w:r>
      <w:r w:rsidR="005E6807">
        <w:t xml:space="preserve"> </w:t>
      </w:r>
      <w:r w:rsidR="0077477C">
        <w:t>April 2011</w:t>
      </w:r>
      <w:r w:rsidR="006021E3">
        <w:t xml:space="preserve"> (Annual Report, 2011)</w:t>
      </w:r>
      <w:r w:rsidR="0077477C">
        <w:t>.</w:t>
      </w:r>
      <w:r w:rsidR="005E6807">
        <w:t xml:space="preserve"> So to a great extent the </w:t>
      </w:r>
      <w:r w:rsidR="00F16D32">
        <w:t xml:space="preserve">institutional capacity to address the ambitious goals of NSDSIII was not in place. This is not to say that no work was </w:t>
      </w:r>
      <w:r w:rsidR="008C07CF">
        <w:t>being</w:t>
      </w:r>
      <w:r w:rsidR="00F16D32">
        <w:t xml:space="preserve"> done in departments and entities or by the DPSA. Clearly there was a lot of work being done in the context of the Public Service HRD Strategy development processes and in the departmental HRD units. Some Departments and provinces had their own academies. The challenge is to identify how the DHET and the skills entities were planning to implement NSDSIII, and in the context of what was happening in 2010 it is very unclear what if anything was being done. </w:t>
      </w:r>
    </w:p>
    <w:p w14:paraId="555C877F" w14:textId="77777777" w:rsidR="00C3298D" w:rsidRPr="004E06E5" w:rsidRDefault="0077477C" w:rsidP="008C07CF">
      <w:pPr>
        <w:rPr>
          <w:i/>
        </w:rPr>
      </w:pPr>
      <w:r>
        <w:t xml:space="preserve">PSETA was </w:t>
      </w:r>
      <w:r w:rsidR="00F2077B" w:rsidRPr="00F2077B">
        <w:t xml:space="preserve">expected to facilitate skills planning across all government departments. This included conducting research on skills needs, coordinating the completion of WPS and ATRs by </w:t>
      </w:r>
      <w:r w:rsidR="00F2077B" w:rsidRPr="00F2077B">
        <w:lastRenderedPageBreak/>
        <w:t xml:space="preserve">government departments and their entities. This would enable the SETAs that are aligned to </w:t>
      </w:r>
      <w:r w:rsidR="00521453">
        <w:t xml:space="preserve">departments to </w:t>
      </w:r>
      <w:r w:rsidR="00F2077B" w:rsidRPr="00F2077B">
        <w:t xml:space="preserve">develop a SSPs that reflects the </w:t>
      </w:r>
      <w:r w:rsidR="00036B2B" w:rsidRPr="00F2077B">
        <w:t>needs of</w:t>
      </w:r>
      <w:r w:rsidR="00F2077B" w:rsidRPr="00F2077B">
        <w:t xml:space="preserve"> the sector and sub-sectors. In doing so, PSETA </w:t>
      </w:r>
      <w:r w:rsidR="009A40E1">
        <w:t>was expected to</w:t>
      </w:r>
      <w:r w:rsidR="00F2077B" w:rsidRPr="00F2077B">
        <w:t xml:space="preserve"> work in collaboration with the ‘sister’ SETAs such as ETDP, H&amp;W, LG and </w:t>
      </w:r>
      <w:proofErr w:type="spellStart"/>
      <w:r w:rsidR="00F2077B" w:rsidRPr="00F2077B">
        <w:t>Agr</w:t>
      </w:r>
      <w:r w:rsidR="00F2077B">
        <w:t>i</w:t>
      </w:r>
      <w:r w:rsidR="00F2077B" w:rsidRPr="00F2077B">
        <w:t>SETA</w:t>
      </w:r>
      <w:proofErr w:type="spellEnd"/>
      <w:r w:rsidR="00F2077B" w:rsidRPr="00F2077B">
        <w:t xml:space="preserve">. </w:t>
      </w:r>
      <w:r w:rsidR="008C07CF">
        <w:t>The structural alignment of PSETA and its administrative standing at the time meant that the SETA</w:t>
      </w:r>
      <w:r w:rsidR="008C07CF">
        <w:rPr>
          <w:i/>
        </w:rPr>
        <w:t xml:space="preserve"> </w:t>
      </w:r>
      <w:r w:rsidR="008C07CF" w:rsidRPr="006D6FBD">
        <w:t xml:space="preserve">could only review and report on, rather than promote, facilitate, monitor and evaluate skills delivery within the public service as government department within its scope opted as permitted by the legislation, to retain the 1% of their payroll statutory mandate for training and rolled the relevant </w:t>
      </w:r>
      <w:proofErr w:type="spellStart"/>
      <w:r w:rsidR="008C07CF" w:rsidRPr="006D6FBD">
        <w:t>prog</w:t>
      </w:r>
      <w:r w:rsidR="008C07CF">
        <w:t>r</w:t>
      </w:r>
      <w:r w:rsidR="008C07CF" w:rsidRPr="006D6FBD">
        <w:t>ammes</w:t>
      </w:r>
      <w:proofErr w:type="spellEnd"/>
      <w:r w:rsidR="008C07CF" w:rsidRPr="006D6FBD">
        <w:t xml:space="preserve"> out of their own (Annual Report)</w:t>
      </w:r>
      <w:r w:rsidR="008C07CF">
        <w:t xml:space="preserve">. </w:t>
      </w:r>
    </w:p>
    <w:tbl>
      <w:tblPr>
        <w:tblStyle w:val="TableGrid"/>
        <w:tblW w:w="0" w:type="auto"/>
        <w:tblLook w:val="04A0" w:firstRow="1" w:lastRow="0" w:firstColumn="1" w:lastColumn="0" w:noHBand="0" w:noVBand="1"/>
      </w:tblPr>
      <w:tblGrid>
        <w:gridCol w:w="2022"/>
        <w:gridCol w:w="7328"/>
      </w:tblGrid>
      <w:tr w:rsidR="00C3298D" w:rsidRPr="00F47C02" w14:paraId="40E55454" w14:textId="77777777" w:rsidTr="00C3298D">
        <w:tc>
          <w:tcPr>
            <w:tcW w:w="9350" w:type="dxa"/>
            <w:gridSpan w:val="2"/>
            <w:shd w:val="clear" w:color="auto" w:fill="943634" w:themeFill="accent2" w:themeFillShade="BF"/>
          </w:tcPr>
          <w:p w14:paraId="59C6F657" w14:textId="77777777" w:rsidR="00C3298D" w:rsidRPr="003F3AE8" w:rsidRDefault="00C3298D" w:rsidP="008C07CF">
            <w:r w:rsidRPr="00AA4BA0">
              <w:t>Output 4.7.2.1.</w:t>
            </w:r>
            <w:r w:rsidRPr="00AA4BA0">
              <w:tab/>
              <w:t>Sector Skills Plans set out the capacity needs of relevant departments and entities</w:t>
            </w:r>
          </w:p>
        </w:tc>
      </w:tr>
      <w:tr w:rsidR="00C3298D" w:rsidRPr="00F47C02" w14:paraId="3DDD85ED" w14:textId="77777777" w:rsidTr="00C3298D">
        <w:tc>
          <w:tcPr>
            <w:tcW w:w="2022" w:type="dxa"/>
            <w:shd w:val="clear" w:color="auto" w:fill="D9D9D9" w:themeFill="background1" w:themeFillShade="D9"/>
          </w:tcPr>
          <w:p w14:paraId="38E0E37F" w14:textId="77777777" w:rsidR="00C3298D" w:rsidRPr="001F269C" w:rsidRDefault="00C3298D" w:rsidP="008C07CF">
            <w:r w:rsidRPr="00AA4BA0">
              <w:rPr>
                <w:lang w:val="en-ZA"/>
              </w:rPr>
              <w:t>How many SSPs reflected the needs of sector aligned departments and entities?</w:t>
            </w:r>
          </w:p>
        </w:tc>
        <w:tc>
          <w:tcPr>
            <w:tcW w:w="7328" w:type="dxa"/>
            <w:shd w:val="clear" w:color="auto" w:fill="auto"/>
          </w:tcPr>
          <w:p w14:paraId="268455D5" w14:textId="3A07364F" w:rsidR="00C3298D" w:rsidRDefault="00C3298D" w:rsidP="008C07CF">
            <w:r>
              <w:rPr>
                <w:lang w:val="en-ZA"/>
              </w:rPr>
              <w:t xml:space="preserve">Most aligned SETAs reflected in their SSPs the needs of their line-departments, from elementary to managerial-level occupations, and their entities such as health facilities (HWSETA), energy plants (ESETA). </w:t>
            </w:r>
            <w:proofErr w:type="spellStart"/>
            <w:r>
              <w:rPr>
                <w:lang w:val="en-ZA"/>
              </w:rPr>
              <w:t>AgriSETA</w:t>
            </w:r>
            <w:proofErr w:type="spellEnd"/>
            <w:r>
              <w:rPr>
                <w:lang w:val="en-ZA"/>
              </w:rPr>
              <w:t xml:space="preserve"> had a direct role along the production pipe-line, from primary to tertiary products</w:t>
            </w:r>
            <w:r w:rsidR="00781503">
              <w:rPr>
                <w:lang w:val="en-ZA"/>
              </w:rPr>
              <w:t xml:space="preserve"> and occupations such as extension officers, critical within the </w:t>
            </w:r>
            <w:r w:rsidR="007724FD">
              <w:rPr>
                <w:lang w:val="en-ZA"/>
              </w:rPr>
              <w:t xml:space="preserve">DAFF </w:t>
            </w:r>
            <w:r w:rsidR="00781503">
              <w:rPr>
                <w:lang w:val="en-ZA"/>
              </w:rPr>
              <w:t>in relation to support to emergent farmers</w:t>
            </w:r>
            <w:r>
              <w:rPr>
                <w:lang w:val="en-ZA"/>
              </w:rPr>
              <w:t>.</w:t>
            </w:r>
            <w:r w:rsidR="00781503">
              <w:rPr>
                <w:lang w:val="en-ZA"/>
              </w:rPr>
              <w:t xml:space="preserve"> Generally key occupational skills needs were identified in the SSPs, </w:t>
            </w:r>
            <w:r w:rsidR="008C07CF">
              <w:rPr>
                <w:lang w:val="en-ZA"/>
              </w:rPr>
              <w:t>with</w:t>
            </w:r>
            <w:r w:rsidR="00781503">
              <w:rPr>
                <w:lang w:val="en-ZA"/>
              </w:rPr>
              <w:t xml:space="preserve"> the qualification that the research undertaken to identify them may not have been at the required level in some SETAs. </w:t>
            </w:r>
          </w:p>
        </w:tc>
      </w:tr>
    </w:tbl>
    <w:p w14:paraId="76679BC1" w14:textId="77777777" w:rsidR="00C3298D" w:rsidRDefault="00C3298D" w:rsidP="008C07CF"/>
    <w:tbl>
      <w:tblPr>
        <w:tblStyle w:val="TableGrid"/>
        <w:tblW w:w="0" w:type="auto"/>
        <w:tblLook w:val="04A0" w:firstRow="1" w:lastRow="0" w:firstColumn="1" w:lastColumn="0" w:noHBand="0" w:noVBand="1"/>
      </w:tblPr>
      <w:tblGrid>
        <w:gridCol w:w="2022"/>
        <w:gridCol w:w="7328"/>
      </w:tblGrid>
      <w:tr w:rsidR="004E06E5" w:rsidRPr="00F47C02" w14:paraId="480A3374" w14:textId="77777777" w:rsidTr="00813248">
        <w:tc>
          <w:tcPr>
            <w:tcW w:w="9350" w:type="dxa"/>
            <w:gridSpan w:val="2"/>
            <w:shd w:val="clear" w:color="auto" w:fill="943634" w:themeFill="accent2" w:themeFillShade="BF"/>
          </w:tcPr>
          <w:p w14:paraId="7FCF1FF7" w14:textId="77777777" w:rsidR="004E06E5" w:rsidRPr="003F3AE8" w:rsidRDefault="004E06E5" w:rsidP="008C07CF">
            <w:r w:rsidRPr="00AA4BA0">
              <w:t>Output 4.7.2.2:</w:t>
            </w:r>
            <w:r w:rsidRPr="00AA4BA0">
              <w:tab/>
            </w:r>
            <w:r w:rsidRPr="00AA4BA0">
              <w:rPr>
                <w:lang w:val="en-ZA" w:eastAsia="en-ZA"/>
              </w:rPr>
              <w:t>Plans and funding arrangements are agreed between the relevant departments /entities and the SETAs, and are reported on.</w:t>
            </w:r>
          </w:p>
        </w:tc>
      </w:tr>
      <w:tr w:rsidR="004E06E5" w:rsidRPr="00F47C02" w14:paraId="1893F516" w14:textId="77777777" w:rsidTr="00813248">
        <w:tc>
          <w:tcPr>
            <w:tcW w:w="2022" w:type="dxa"/>
            <w:shd w:val="clear" w:color="auto" w:fill="D9D9D9" w:themeFill="background1" w:themeFillShade="D9"/>
          </w:tcPr>
          <w:p w14:paraId="4A64B232" w14:textId="77777777" w:rsidR="004E06E5" w:rsidRPr="001F269C" w:rsidRDefault="004E06E5" w:rsidP="008C07CF">
            <w:r w:rsidRPr="00AA4BA0">
              <w:rPr>
                <w:lang w:val="en-ZA"/>
              </w:rPr>
              <w:t>What was the funding arrangement in place for the public services in 2011?</w:t>
            </w:r>
          </w:p>
        </w:tc>
        <w:tc>
          <w:tcPr>
            <w:tcW w:w="7328" w:type="dxa"/>
            <w:shd w:val="clear" w:color="auto" w:fill="auto"/>
          </w:tcPr>
          <w:p w14:paraId="141505D4" w14:textId="77777777" w:rsidR="004E06E5" w:rsidRDefault="004E06E5" w:rsidP="008C07CF">
            <w:pPr>
              <w:rPr>
                <w:lang w:val="en-ZA"/>
              </w:rPr>
            </w:pPr>
            <w:r>
              <w:rPr>
                <w:lang w:val="en-ZA"/>
              </w:rPr>
              <w:t xml:space="preserve">Departments were mandated to “ring-fence” 1% of the salary bill for training. PSETA was funded by the Treasury through the DPSA. There were also concerns that the 1% was not fully used as exemplified by unsatisfactory spending rate. Accordingly, many in business were expressing concern about the lack of commitment in government. Negotiations were taking place to establish a system whereby a percentage of 1% would be paid to ‘line-SETAs’ and a percentage to PSETA. The DHET, DPSA and Treasury established a high-level Inter-Ministerial Task Team to address PSETA funding issue. </w:t>
            </w:r>
          </w:p>
          <w:p w14:paraId="058D4B72" w14:textId="77777777" w:rsidR="004E06E5" w:rsidRDefault="004E06E5" w:rsidP="008C07CF">
            <w:r>
              <w:rPr>
                <w:lang w:val="en-ZA"/>
              </w:rPr>
              <w:t xml:space="preserve">PSETA Annual Report noted that 102 (89%) national and provincial departments submitted their Training Expenditure Reports (TERs) while 138 WPSs and ATRs were submitted by the Departments.  </w:t>
            </w:r>
            <w:r w:rsidR="00866714">
              <w:rPr>
                <w:lang w:val="en-ZA"/>
              </w:rPr>
              <w:t xml:space="preserve">However the capacity of the PSETA to engage with these was limited because of lack of funding and it is very unlikely that funding arrangement to implement programmes were in place except in a few SETAs where there was a history of close collaboration between the department and the SETA. There was a heavy reliance on such relationships and the legislation and regulatory framework militated against active engagement of departments in the work of the SETAs they were located in. Whilst there </w:t>
            </w:r>
            <w:r w:rsidR="00866714">
              <w:rPr>
                <w:lang w:val="en-ZA"/>
              </w:rPr>
              <w:lastRenderedPageBreak/>
              <w:t xml:space="preserve">was a good deal of in-house training being done by departments (for example CPD for teachers and nurses would have been standard in the two concerned departments) most departments were not participating in </w:t>
            </w:r>
            <w:proofErr w:type="spellStart"/>
            <w:r w:rsidR="00866714">
              <w:rPr>
                <w:lang w:val="en-ZA"/>
              </w:rPr>
              <w:t>learnerships</w:t>
            </w:r>
            <w:proofErr w:type="spellEnd"/>
            <w:r w:rsidR="00866714">
              <w:rPr>
                <w:lang w:val="en-ZA"/>
              </w:rPr>
              <w:t xml:space="preserve"> and other programmes for new entrants. This is not surprising given the skills needs of existing employees, but it was clearly something that NSDS III was intended to address. The slogan “turn every workplace into a training space” was developed and was intended to apply equally to the public and private sectors. However at this point in 2010 the baseline was set at a very low level. </w:t>
            </w:r>
          </w:p>
        </w:tc>
      </w:tr>
    </w:tbl>
    <w:p w14:paraId="7F2E07F5" w14:textId="77777777" w:rsidR="004E06E5" w:rsidRDefault="004E06E5" w:rsidP="008C07CF"/>
    <w:p w14:paraId="23F44056" w14:textId="77777777" w:rsidR="00FE5017" w:rsidRPr="00AA4BA0" w:rsidRDefault="00D63413" w:rsidP="008C07CF">
      <w:pPr>
        <w:rPr>
          <w:lang w:val="en-ZA"/>
        </w:rPr>
      </w:pPr>
      <w:r>
        <w:rPr>
          <w:lang w:val="en-ZA"/>
        </w:rPr>
        <w:t>SUMMARY</w:t>
      </w:r>
    </w:p>
    <w:p w14:paraId="6C54E04E" w14:textId="77777777" w:rsidR="00475457" w:rsidRPr="00B97113" w:rsidRDefault="00B60DFF" w:rsidP="008C07CF">
      <w:r>
        <w:t xml:space="preserve">There are a range of difficulties involved in assessing the baseline for the public service and public sector. </w:t>
      </w:r>
      <w:r w:rsidR="00673F34">
        <w:t>During the reporting period, PSETA was still placed under administration</w:t>
      </w:r>
      <w:r w:rsidR="003B1545">
        <w:t xml:space="preserve">, and not receiving its funds just as was the case with other SETAs. Technically, PSETA did not control its </w:t>
      </w:r>
      <w:r w:rsidR="006C4806">
        <w:t>budget</w:t>
      </w:r>
      <w:r w:rsidR="00673F34">
        <w:t xml:space="preserve">. Despite this, the SETA </w:t>
      </w:r>
      <w:r w:rsidR="006C4806">
        <w:t>could</w:t>
      </w:r>
      <w:r w:rsidR="00673F34">
        <w:t xml:space="preserve"> secure </w:t>
      </w:r>
      <w:r w:rsidR="0085497B" w:rsidRPr="00673F34">
        <w:t xml:space="preserve">WPSs and ATRs </w:t>
      </w:r>
      <w:r w:rsidR="00673F34">
        <w:t xml:space="preserve">from the Departments. </w:t>
      </w:r>
      <w:r w:rsidR="00866714">
        <w:t xml:space="preserve">Overall the capacity of the skills system to address the ambitious outputs and outcomes of NSDS III were very limited. </w:t>
      </w:r>
    </w:p>
    <w:p w14:paraId="0F2E11F7" w14:textId="77777777" w:rsidR="004C2AE1" w:rsidRDefault="004C2AE1" w:rsidP="008C07CF">
      <w:pPr>
        <w:pStyle w:val="Heading2"/>
        <w:rPr>
          <w:rFonts w:eastAsia="Times New Roman"/>
          <w:lang w:val="en-ZA"/>
        </w:rPr>
      </w:pPr>
      <w:bookmarkStart w:id="30" w:name="_Toc488525876"/>
      <w:r w:rsidRPr="00AA4BA0">
        <w:rPr>
          <w:rFonts w:eastAsia="Times New Roman"/>
          <w:lang w:val="en-ZA"/>
        </w:rPr>
        <w:t xml:space="preserve">Goal </w:t>
      </w:r>
      <w:r w:rsidRPr="004C2AE1">
        <w:rPr>
          <w:rFonts w:eastAsia="Times New Roman"/>
          <w:lang w:val="en-ZA"/>
        </w:rPr>
        <w:t>8</w:t>
      </w:r>
      <w:r w:rsidRPr="00AA4BA0">
        <w:rPr>
          <w:rFonts w:eastAsia="Times New Roman"/>
          <w:lang w:val="en-ZA"/>
        </w:rPr>
        <w:t>:</w:t>
      </w:r>
      <w:r w:rsidR="002377ED">
        <w:rPr>
          <w:rFonts w:eastAsia="Times New Roman"/>
          <w:lang w:val="en-ZA"/>
        </w:rPr>
        <w:t xml:space="preserve"> Build Career and Vocational Guidance</w:t>
      </w:r>
      <w:bookmarkEnd w:id="30"/>
    </w:p>
    <w:p w14:paraId="7573ED7F" w14:textId="77777777" w:rsidR="004C2AE1" w:rsidRDefault="004C2AE1" w:rsidP="008C07CF"/>
    <w:p w14:paraId="7B6B06E3" w14:textId="77777777" w:rsidR="0028762F" w:rsidRPr="00AA4BA0" w:rsidRDefault="0028762F" w:rsidP="008C07CF">
      <w:r w:rsidRPr="00AA4BA0">
        <w:t>Outcome 4.8.1</w:t>
      </w:r>
      <w:r w:rsidR="00FE5017" w:rsidRPr="00AA4BA0">
        <w:t xml:space="preserve">: </w:t>
      </w:r>
      <w:r w:rsidR="008A6F45" w:rsidRPr="00AA4BA0">
        <w:rPr>
          <w:lang w:val="en-ZA"/>
        </w:rPr>
        <w:t>Career paths are mapped to qualifications in all sectors and sub-sectors, and communicated effectively, contributing to improved relevance of training and greater mobility and progression.</w:t>
      </w:r>
      <w:r w:rsidR="008A6F45" w:rsidRPr="00AA4BA0">
        <w:t xml:space="preserve"> </w:t>
      </w:r>
    </w:p>
    <w:p w14:paraId="53F42614" w14:textId="77777777" w:rsidR="00C3298D" w:rsidRDefault="008E392F" w:rsidP="008C07CF">
      <w:r>
        <w:t xml:space="preserve">A just and inclusive society </w:t>
      </w:r>
      <w:r w:rsidR="006C4806">
        <w:t>requires</w:t>
      </w:r>
      <w:r>
        <w:t xml:space="preserve"> that there are job opportunities for all, and that workers possess the requisite </w:t>
      </w:r>
      <w:r w:rsidR="004D16FF">
        <w:t>skills to do the job and match</w:t>
      </w:r>
      <w:r>
        <w:t xml:space="preserve"> those required by the employer. It requires the balance between the skills produced and the response of the industry. </w:t>
      </w:r>
      <w:r w:rsidR="006C4806">
        <w:t>Therefore,</w:t>
      </w:r>
      <w:r>
        <w:t xml:space="preserve"> skills mismatch denotes the types of imbalances that occur between the types of skills developed and those needed in </w:t>
      </w:r>
      <w:r w:rsidR="003B1545">
        <w:t xml:space="preserve">the </w:t>
      </w:r>
      <w:r>
        <w:t>world</w:t>
      </w:r>
      <w:r w:rsidR="003B1545">
        <w:t xml:space="preserve"> </w:t>
      </w:r>
      <w:r>
        <w:t xml:space="preserve">of work (LMIP, 2016). Skills supply and demand are not static, they change as the economic structure changes and therefore the producers and users of skills must constantly monitor changes in the structure of employment too. Such should be effectively communicated to the key client, the worker. </w:t>
      </w:r>
    </w:p>
    <w:tbl>
      <w:tblPr>
        <w:tblStyle w:val="TableGrid"/>
        <w:tblW w:w="0" w:type="auto"/>
        <w:tblLook w:val="04A0" w:firstRow="1" w:lastRow="0" w:firstColumn="1" w:lastColumn="0" w:noHBand="0" w:noVBand="1"/>
      </w:tblPr>
      <w:tblGrid>
        <w:gridCol w:w="2022"/>
        <w:gridCol w:w="7328"/>
      </w:tblGrid>
      <w:tr w:rsidR="00C3298D" w:rsidRPr="00F47C02" w14:paraId="505AF660" w14:textId="77777777" w:rsidTr="00076022">
        <w:trPr>
          <w:tblHeader/>
        </w:trPr>
        <w:tc>
          <w:tcPr>
            <w:tcW w:w="9350" w:type="dxa"/>
            <w:gridSpan w:val="2"/>
            <w:shd w:val="clear" w:color="auto" w:fill="943634" w:themeFill="accent2" w:themeFillShade="BF"/>
          </w:tcPr>
          <w:p w14:paraId="5865B198" w14:textId="77777777" w:rsidR="00C3298D" w:rsidRPr="003F3AE8" w:rsidRDefault="00C3298D" w:rsidP="008C07CF">
            <w:r w:rsidRPr="00AA4BA0">
              <w:t>Output 4.8.1.1:</w:t>
            </w:r>
            <w:r w:rsidRPr="00AA4BA0">
              <w:tab/>
            </w:r>
            <w:r w:rsidRPr="00AA4BA0">
              <w:rPr>
                <w:lang w:val="en-ZA" w:eastAsia="en-ZA"/>
              </w:rPr>
              <w:t>Career guides are developed with labour market information from SETAs, addressing sub-sectors within their sector.</w:t>
            </w:r>
          </w:p>
        </w:tc>
      </w:tr>
      <w:tr w:rsidR="00C3298D" w:rsidRPr="00F47C02" w14:paraId="09E65F83" w14:textId="77777777" w:rsidTr="00076022">
        <w:tc>
          <w:tcPr>
            <w:tcW w:w="2022" w:type="dxa"/>
            <w:shd w:val="clear" w:color="auto" w:fill="D9D9D9" w:themeFill="background1" w:themeFillShade="D9"/>
          </w:tcPr>
          <w:p w14:paraId="4CAA98C4" w14:textId="77777777" w:rsidR="00C3298D" w:rsidRPr="001F269C" w:rsidRDefault="00C3298D" w:rsidP="008C07CF">
            <w:r w:rsidRPr="00AA4BA0">
              <w:rPr>
                <w:lang w:val="en-ZA"/>
              </w:rPr>
              <w:t>How many SETAs had a career guide in place?</w:t>
            </w:r>
          </w:p>
        </w:tc>
        <w:tc>
          <w:tcPr>
            <w:tcW w:w="7328" w:type="dxa"/>
            <w:shd w:val="clear" w:color="auto" w:fill="auto"/>
          </w:tcPr>
          <w:p w14:paraId="47B37384" w14:textId="77777777" w:rsidR="00C3298D" w:rsidRDefault="00C3298D" w:rsidP="008C07CF">
            <w:pPr>
              <w:rPr>
                <w:lang w:val="en-ZA"/>
              </w:rPr>
            </w:pPr>
            <w:r>
              <w:rPr>
                <w:lang w:val="en-ZA"/>
              </w:rPr>
              <w:t xml:space="preserve">Available evidence suggests that all SETAs had career guides, which took different forms. Events and fares included exhibitions, workshops, seminars, outreach, roadshows, summits, conferences, colloquia, </w:t>
            </w:r>
            <w:proofErr w:type="spellStart"/>
            <w:r>
              <w:rPr>
                <w:lang w:val="en-ZA"/>
              </w:rPr>
              <w:lastRenderedPageBreak/>
              <w:t>imbizos</w:t>
            </w:r>
            <w:proofErr w:type="spellEnd"/>
            <w:r>
              <w:rPr>
                <w:lang w:val="en-ZA"/>
              </w:rPr>
              <w:t xml:space="preserve">, career expos, collaboration with colleges, one-on-one meetings and campaigns. </w:t>
            </w:r>
          </w:p>
          <w:p w14:paraId="4A636066" w14:textId="77777777" w:rsidR="00C3298D" w:rsidRDefault="00C3298D" w:rsidP="008C07CF">
            <w:pPr>
              <w:rPr>
                <w:lang w:val="en-ZA"/>
              </w:rPr>
            </w:pPr>
            <w:r>
              <w:rPr>
                <w:lang w:val="en-ZA"/>
              </w:rPr>
              <w:t>Media involved newspaper advertisements in national, regional, local and industry-based newspapers, newspaper supplements, brochures, magazines, DVDs materials radio, television, web-based publications, trucks and buses adverts, call centres, monthly bulletins and quarterly newsletters, interactive websites, on-live video streaming, distribution of materials to schools and pamphlets.</w:t>
            </w:r>
          </w:p>
          <w:p w14:paraId="617613E7" w14:textId="77777777" w:rsidR="00165D70" w:rsidRDefault="00165D70" w:rsidP="008C07CF"/>
        </w:tc>
      </w:tr>
      <w:tr w:rsidR="00C3298D" w:rsidRPr="00F47C02" w14:paraId="7B285019" w14:textId="77777777" w:rsidTr="00076022">
        <w:trPr>
          <w:tblHeader/>
        </w:trPr>
        <w:tc>
          <w:tcPr>
            <w:tcW w:w="9350" w:type="dxa"/>
            <w:gridSpan w:val="2"/>
            <w:shd w:val="clear" w:color="auto" w:fill="943634" w:themeFill="accent2" w:themeFillShade="BF"/>
          </w:tcPr>
          <w:p w14:paraId="65EAC8DA" w14:textId="77777777" w:rsidR="00C3298D" w:rsidRPr="003F3AE8" w:rsidRDefault="00C3298D" w:rsidP="008C07CF">
            <w:r w:rsidRPr="00AA4BA0">
              <w:rPr>
                <w:bCs/>
                <w:lang w:val="en-ZA" w:eastAsia="en-ZA"/>
              </w:rPr>
              <w:lastRenderedPageBreak/>
              <w:t xml:space="preserve">Output 4.8.1.2: </w:t>
            </w:r>
            <w:r w:rsidRPr="00AA4BA0">
              <w:rPr>
                <w:lang w:val="en-ZA" w:eastAsia="en-ZA"/>
              </w:rPr>
              <w:t>Sector stakeholders are engaged and programmes are adjusted to meet the skills and qualification needs to promote comprehensive career development.</w:t>
            </w:r>
          </w:p>
        </w:tc>
      </w:tr>
      <w:tr w:rsidR="00C3298D" w:rsidRPr="00F47C02" w14:paraId="7834B525" w14:textId="77777777" w:rsidTr="00076022">
        <w:tc>
          <w:tcPr>
            <w:tcW w:w="2022" w:type="dxa"/>
            <w:shd w:val="clear" w:color="auto" w:fill="D9D9D9" w:themeFill="background1" w:themeFillShade="D9"/>
          </w:tcPr>
          <w:p w14:paraId="5495C76A" w14:textId="77777777" w:rsidR="00C3298D" w:rsidRPr="001F269C" w:rsidRDefault="00C3298D" w:rsidP="008C07CF">
            <w:r w:rsidRPr="00AA4BA0">
              <w:t>To what extent was career pathing informing skills development interventions?</w:t>
            </w:r>
          </w:p>
        </w:tc>
        <w:tc>
          <w:tcPr>
            <w:tcW w:w="7328" w:type="dxa"/>
            <w:shd w:val="clear" w:color="auto" w:fill="auto"/>
          </w:tcPr>
          <w:p w14:paraId="111022EC" w14:textId="77777777" w:rsidR="00C401FA" w:rsidRDefault="00C3298D" w:rsidP="008C07CF">
            <w:r w:rsidRPr="004352F0">
              <w:t xml:space="preserve">Many SETAs responded by revising and registering </w:t>
            </w:r>
            <w:r w:rsidR="00C401FA">
              <w:t>occupational</w:t>
            </w:r>
            <w:r w:rsidRPr="004352F0">
              <w:t xml:space="preserve"> qualifications </w:t>
            </w:r>
            <w:r w:rsidR="00C401FA">
              <w:t xml:space="preserve">relevant to their sector </w:t>
            </w:r>
            <w:r w:rsidRPr="004352F0">
              <w:t>with SAQA</w:t>
            </w:r>
            <w:r w:rsidR="00C401FA">
              <w:t xml:space="preserve"> and then promoting these qualifications. One of the challenges is that there are various learning pathways to occupations and because of the lack of collaboration between public </w:t>
            </w:r>
            <w:r w:rsidR="008C07CF">
              <w:t>further</w:t>
            </w:r>
            <w:r w:rsidR="00C401FA">
              <w:t xml:space="preserve"> and higher education institutions and the SETAs, there was limited recognition of the differing pathways in </w:t>
            </w:r>
            <w:r w:rsidR="008C07CF">
              <w:t>career</w:t>
            </w:r>
            <w:r w:rsidR="00C401FA">
              <w:t xml:space="preserve"> guides</w:t>
            </w:r>
            <w:r w:rsidRPr="004352F0">
              <w:t>.</w:t>
            </w:r>
            <w:r w:rsidR="00165D70">
              <w:t xml:space="preserve"> </w:t>
            </w:r>
            <w:r w:rsidR="00C401FA">
              <w:t xml:space="preserve">Some SETAs were developing learning pathways that acknowledged the different choices people make and identified specific interventions that the SETA would support in relation to different learning pathways, but many were focused on qualifications developed for the sector, looking to promote particular qualifications. </w:t>
            </w:r>
            <w:r w:rsidR="00C401FA">
              <w:br/>
            </w:r>
          </w:p>
          <w:p w14:paraId="3318836A" w14:textId="77777777" w:rsidR="00C3298D" w:rsidRDefault="00C401FA" w:rsidP="008C07CF">
            <w:r>
              <w:t>T</w:t>
            </w:r>
            <w:r w:rsidR="00165D70">
              <w:t>he issue or articulation of qualifications does not seem to have received sufficient focus.</w:t>
            </w:r>
            <w:r>
              <w:t xml:space="preserve"> So the issue of people gaining an occupational (SETA developed) qualification and then seeking entry to a university </w:t>
            </w:r>
            <w:proofErr w:type="spellStart"/>
            <w:r>
              <w:t>programme</w:t>
            </w:r>
            <w:proofErr w:type="spellEnd"/>
            <w:r>
              <w:t xml:space="preserve"> was a challenge. In many sectors individuals would find themselves with a qualification that did </w:t>
            </w:r>
            <w:r w:rsidR="008C07CF">
              <w:t>not</w:t>
            </w:r>
            <w:r>
              <w:t xml:space="preserve"> enable progression. A good example of this is the ECD Practitioner qualification developed by SAQA through the NSB and SGB processes and resulted in the ETDP SETA funding a large number of </w:t>
            </w:r>
            <w:r w:rsidR="009522AC">
              <w:t xml:space="preserve">learners who gained ECD qualifications only to find that when Grade R became part of mainstream schooling the qualifications they held did not even gain them credits towards a foundation phase B Ed, nor did they enable them access to a B Ed if they did not have the NSC as well. This when a level 4 ECD qualification was intended to have the same value as the Matric. There are many examples of problem choices facing people seeking to access their chosen occupation. </w:t>
            </w:r>
          </w:p>
          <w:p w14:paraId="4E763E84" w14:textId="77777777" w:rsidR="009522AC" w:rsidRDefault="009522AC" w:rsidP="008C07CF"/>
          <w:p w14:paraId="294932F5" w14:textId="77777777" w:rsidR="009522AC" w:rsidRDefault="009522AC" w:rsidP="008C07CF">
            <w:r>
              <w:t xml:space="preserve">The other problem is that the SETAs are not the main custodians of career development. Schools play an important role as well as education </w:t>
            </w:r>
            <w:r w:rsidR="008C07CF">
              <w:t>psychologists</w:t>
            </w:r>
            <w:r>
              <w:t xml:space="preserve"> and others supporting learners. SAQA had an important </w:t>
            </w:r>
            <w:r>
              <w:lastRenderedPageBreak/>
              <w:t xml:space="preserve">responsibility at the time that has since been transferred to DHET. Effective career development services required specific types of partnership to be put in place and these were largely not in place in 2010. It can fairly be stated that career development was in a very early stage of maturity, and even where SETAs were developing helpful guides for learners, it was the reality that very little information was communicated to the people that needed that information, namely school, college and university learners. It is also doubtful that career pathing understandings underpinned SETA strategies and interventions to any great extent. </w:t>
            </w:r>
          </w:p>
        </w:tc>
      </w:tr>
    </w:tbl>
    <w:p w14:paraId="19164BF9" w14:textId="77777777" w:rsidR="00AE7094" w:rsidRDefault="00AE7094" w:rsidP="008C07CF"/>
    <w:p w14:paraId="076D48EE" w14:textId="77777777" w:rsidR="0082136A" w:rsidRDefault="00D63413" w:rsidP="008C07CF">
      <w:pPr>
        <w:rPr>
          <w:lang w:val="en-ZA" w:eastAsia="en-ZA"/>
        </w:rPr>
      </w:pPr>
      <w:r>
        <w:rPr>
          <w:lang w:val="en-ZA" w:eastAsia="en-ZA"/>
        </w:rPr>
        <w:t>SUMMARY</w:t>
      </w:r>
    </w:p>
    <w:p w14:paraId="06939227" w14:textId="77777777" w:rsidR="004009F2" w:rsidRPr="00A6733C" w:rsidRDefault="00A6733C" w:rsidP="008C07CF">
      <w:pPr>
        <w:rPr>
          <w:lang w:val="en-ZA" w:eastAsia="en-ZA"/>
        </w:rPr>
      </w:pPr>
      <w:r w:rsidRPr="00A6733C">
        <w:rPr>
          <w:lang w:val="en-ZA" w:eastAsia="en-ZA"/>
        </w:rPr>
        <w:t>All SETAs had career guides which were marketed and communicated through various media. Further review of SETA annual reports (financial statements) revealed that the disparities in resource allocation for marketing and communication were significantly huge in some cases</w:t>
      </w:r>
      <w:r w:rsidR="009522AC">
        <w:rPr>
          <w:lang w:val="en-ZA" w:eastAsia="en-ZA"/>
        </w:rPr>
        <w:t xml:space="preserve">, though not </w:t>
      </w:r>
      <w:r w:rsidR="008C07CF">
        <w:rPr>
          <w:lang w:val="en-ZA" w:eastAsia="en-ZA"/>
        </w:rPr>
        <w:t>necessarily</w:t>
      </w:r>
      <w:r w:rsidR="009522AC">
        <w:rPr>
          <w:lang w:val="en-ZA" w:eastAsia="en-ZA"/>
        </w:rPr>
        <w:t xml:space="preserve"> linked to career development</w:t>
      </w:r>
      <w:r w:rsidRPr="00A6733C">
        <w:rPr>
          <w:lang w:val="en-ZA" w:eastAsia="en-ZA"/>
        </w:rPr>
        <w:t xml:space="preserve">. </w:t>
      </w:r>
      <w:r>
        <w:rPr>
          <w:lang w:val="en-ZA" w:eastAsia="en-ZA"/>
        </w:rPr>
        <w:t xml:space="preserve">It was noted that adjustments of qualifications and programmes were </w:t>
      </w:r>
      <w:r w:rsidR="006C4806">
        <w:rPr>
          <w:lang w:val="en-ZA" w:eastAsia="en-ZA"/>
        </w:rPr>
        <w:t>conducted</w:t>
      </w:r>
      <w:r w:rsidR="009D2727">
        <w:rPr>
          <w:lang w:val="en-ZA" w:eastAsia="en-ZA"/>
        </w:rPr>
        <w:t xml:space="preserve"> by the SETAs </w:t>
      </w:r>
      <w:r>
        <w:rPr>
          <w:lang w:val="en-ZA" w:eastAsia="en-ZA"/>
        </w:rPr>
        <w:t>to ensure alignment between skills produced and skills required.</w:t>
      </w:r>
      <w:r w:rsidRPr="00A6733C">
        <w:rPr>
          <w:lang w:val="en-ZA" w:eastAsia="en-ZA"/>
        </w:rPr>
        <w:t xml:space="preserve"> </w:t>
      </w:r>
      <w:r w:rsidR="009522AC">
        <w:rPr>
          <w:lang w:val="en-ZA" w:eastAsia="en-ZA"/>
        </w:rPr>
        <w:t xml:space="preserve">However the complex learning </w:t>
      </w:r>
      <w:r w:rsidR="008C07CF">
        <w:rPr>
          <w:lang w:val="en-ZA" w:eastAsia="en-ZA"/>
        </w:rPr>
        <w:t>pathways</w:t>
      </w:r>
      <w:r w:rsidR="009522AC">
        <w:rPr>
          <w:lang w:val="en-ZA" w:eastAsia="en-ZA"/>
        </w:rPr>
        <w:t xml:space="preserve"> that individuals follow which includes public school, public and private colleges delivering various FE qualifications and universities</w:t>
      </w:r>
      <w:r w:rsidR="00D26A68">
        <w:rPr>
          <w:lang w:val="en-ZA" w:eastAsia="en-ZA"/>
        </w:rPr>
        <w:t xml:space="preserve"> were not generally addressed and the specific role of the SETAs was not often clear, except in the specific area of funding SETA/SAQA developed occupational qualifications. In addition the wider stakeholder community involved in careers development services were not well developed or understood. Although it can be said that all SETAs produced career guides and participated in communication strategies and programmes, it is also the case that collectively, the career development stakeholders were not effectively supporting learners and the unemployed to make rational and well informed choices. </w:t>
      </w:r>
    </w:p>
    <w:p w14:paraId="665AA4C7" w14:textId="77777777" w:rsidR="004009F2" w:rsidRDefault="004009F2" w:rsidP="008C07CF">
      <w:pPr>
        <w:rPr>
          <w:lang w:val="en-ZA" w:eastAsia="en-ZA"/>
        </w:rPr>
      </w:pPr>
      <w:r>
        <w:rPr>
          <w:lang w:val="en-ZA" w:eastAsia="en-ZA"/>
        </w:rPr>
        <w:br w:type="page"/>
      </w:r>
    </w:p>
    <w:p w14:paraId="3E70527D" w14:textId="77777777" w:rsidR="002545CC" w:rsidRPr="00860F00" w:rsidRDefault="002545CC" w:rsidP="008C07CF">
      <w:pPr>
        <w:pStyle w:val="Heading1"/>
      </w:pPr>
      <w:bookmarkStart w:id="31" w:name="_Toc482985109"/>
      <w:bookmarkStart w:id="32" w:name="_Toc486285891"/>
      <w:bookmarkStart w:id="33" w:name="_Toc486899626"/>
      <w:bookmarkStart w:id="34" w:name="_Toc488525877"/>
      <w:r w:rsidRPr="00860F00">
        <w:lastRenderedPageBreak/>
        <w:t>S</w:t>
      </w:r>
      <w:r w:rsidR="00860F00" w:rsidRPr="00860F00">
        <w:t>UMMARY OF FINDINGS</w:t>
      </w:r>
      <w:bookmarkEnd w:id="31"/>
      <w:bookmarkEnd w:id="32"/>
      <w:bookmarkEnd w:id="33"/>
      <w:bookmarkEnd w:id="34"/>
      <w:r w:rsidRPr="00860F00">
        <w:t xml:space="preserve"> </w:t>
      </w:r>
    </w:p>
    <w:p w14:paraId="76196A56" w14:textId="77777777" w:rsidR="00596E5C" w:rsidRDefault="002377ED" w:rsidP="008C07CF">
      <w:pPr>
        <w:pStyle w:val="Heading2"/>
        <w:rPr>
          <w:rFonts w:cstheme="minorHAnsi"/>
          <w:sz w:val="22"/>
        </w:rPr>
      </w:pPr>
      <w:bookmarkStart w:id="35" w:name="_Toc488525878"/>
      <w:r w:rsidRPr="00596E5C">
        <w:t xml:space="preserve">Research </w:t>
      </w:r>
      <w:r w:rsidR="00FE7D26">
        <w:t>and skills planning c</w:t>
      </w:r>
      <w:r w:rsidRPr="00596E5C">
        <w:t>apacity</w:t>
      </w:r>
      <w:bookmarkEnd w:id="35"/>
      <w:r w:rsidRPr="00596E5C">
        <w:rPr>
          <w:rFonts w:cstheme="minorHAnsi"/>
          <w:sz w:val="22"/>
        </w:rPr>
        <w:t xml:space="preserve"> </w:t>
      </w:r>
    </w:p>
    <w:p w14:paraId="481158C8" w14:textId="77777777" w:rsidR="00405A85" w:rsidRPr="00596E5C" w:rsidRDefault="002377ED" w:rsidP="008C07CF">
      <w:r w:rsidRPr="00596E5C">
        <w:t>At systemic level, the DHET did not have skills-related research capacity</w:t>
      </w:r>
      <w:r w:rsidR="00C52096" w:rsidRPr="00596E5C">
        <w:t xml:space="preserve"> within the Skills Branch</w:t>
      </w:r>
      <w:r w:rsidR="00302FAA" w:rsidRPr="00596E5C">
        <w:t xml:space="preserve">, there was no research specialist. </w:t>
      </w:r>
      <w:r w:rsidRPr="00596E5C">
        <w:t>SETAs</w:t>
      </w:r>
      <w:r w:rsidR="001F5EAE" w:rsidRPr="00596E5C">
        <w:t>’</w:t>
      </w:r>
      <w:r w:rsidRPr="00596E5C">
        <w:t xml:space="preserve"> internal research capacity was not strong either. </w:t>
      </w:r>
      <w:r w:rsidR="006C4806" w:rsidRPr="00596E5C">
        <w:t>Thus</w:t>
      </w:r>
      <w:r w:rsidR="00302FAA" w:rsidRPr="00596E5C">
        <w:t>, judgement on the commissioning of r</w:t>
      </w:r>
      <w:r w:rsidRPr="00596E5C">
        <w:t xml:space="preserve">esearch services </w:t>
      </w:r>
      <w:r w:rsidR="00302FAA" w:rsidRPr="00596E5C">
        <w:t xml:space="preserve">was weak, resulting in research being </w:t>
      </w:r>
      <w:r w:rsidRPr="00596E5C">
        <w:t>outsourced to consultants</w:t>
      </w:r>
      <w:r w:rsidR="001F5EAE" w:rsidRPr="00596E5C">
        <w:t>, some of</w:t>
      </w:r>
      <w:r w:rsidRPr="00596E5C">
        <w:t xml:space="preserve"> </w:t>
      </w:r>
      <w:r w:rsidR="00302FAA" w:rsidRPr="00596E5C">
        <w:t>who</w:t>
      </w:r>
      <w:r w:rsidR="001F5EAE" w:rsidRPr="00596E5C">
        <w:t>m</w:t>
      </w:r>
      <w:r w:rsidR="00302FAA" w:rsidRPr="00596E5C">
        <w:t xml:space="preserve"> </w:t>
      </w:r>
      <w:r w:rsidRPr="00596E5C">
        <w:t xml:space="preserve">were not </w:t>
      </w:r>
      <w:r w:rsidR="00302FAA" w:rsidRPr="00596E5C">
        <w:t xml:space="preserve">capable of </w:t>
      </w:r>
      <w:r w:rsidRPr="00596E5C">
        <w:t>delivering quality SSPs.</w:t>
      </w:r>
      <w:r w:rsidR="00511982" w:rsidRPr="00596E5C">
        <w:t xml:space="preserve"> </w:t>
      </w:r>
      <w:r w:rsidR="00302FAA" w:rsidRPr="00596E5C">
        <w:t xml:space="preserve">This is exemplified by the number of SSPs which were declared unacceptable. Only 4 out of 23 SSPs were rated </w:t>
      </w:r>
      <w:r w:rsidR="00511982" w:rsidRPr="00596E5C">
        <w:t>‘excellent’.</w:t>
      </w:r>
      <w:r w:rsidRPr="00596E5C">
        <w:t xml:space="preserve"> </w:t>
      </w:r>
      <w:proofErr w:type="gramStart"/>
      <w:r w:rsidR="00C81388">
        <w:t>However</w:t>
      </w:r>
      <w:proofErr w:type="gramEnd"/>
      <w:r w:rsidR="00C81388">
        <w:t xml:space="preserve"> SETAs were adequately resourced to conduct research, and as was demonstrated by the panel of experts appointed by the HRDC SSPs could be assessed and feedback could be provided that could improve their quality. At a national level the capacity was not in place but the funds were available to establish the LMIP process and put in place national systems and projects. There were also examples of good research and good quality sector pl</w:t>
      </w:r>
      <w:r w:rsidR="0046269B">
        <w:t xml:space="preserve">ans that could be built on. There was a sense that although standards were not good the potential for improving performance in the key area was there. The necessary resources were in place and progress was already evident at the time. The baseline was low but a good deal of what was needed was already in place or planned. </w:t>
      </w:r>
    </w:p>
    <w:p w14:paraId="5C87CE17" w14:textId="77777777" w:rsidR="00FE7D26" w:rsidRDefault="00FE7D26" w:rsidP="008C07CF">
      <w:pPr>
        <w:pStyle w:val="Heading2"/>
      </w:pPr>
      <w:bookmarkStart w:id="36" w:name="_Toc488525879"/>
      <w:r>
        <w:t>Middle level and artisan skills</w:t>
      </w:r>
      <w:bookmarkEnd w:id="36"/>
    </w:p>
    <w:p w14:paraId="60FA3599" w14:textId="4828A82B" w:rsidR="00FE7D26" w:rsidRDefault="00FE7D26" w:rsidP="008C07CF">
      <w:r>
        <w:t xml:space="preserve">The development of middle level and artisan skills was a priority in NSDS III but it is important to note that significant progress had been made during NSDS II. Whether NSDS II or the skills system can take responsibility or not for the doubling of artisan numbers is a question for another part of the evaluation, but certainly some groundwork had been laid and progress was being made. The challenge was for the skills system to take responsibility for the work started by </w:t>
      </w:r>
      <w:r w:rsidR="002410F9">
        <w:t xml:space="preserve">JIPSA </w:t>
      </w:r>
      <w:r>
        <w:t xml:space="preserve">and to build on the progress made. </w:t>
      </w:r>
      <w:r w:rsidR="0046269B">
        <w:t xml:space="preserve">An important step had been taken in the setting of a target by </w:t>
      </w:r>
      <w:proofErr w:type="spellStart"/>
      <w:r w:rsidR="0046269B">
        <w:t>Jipsa</w:t>
      </w:r>
      <w:proofErr w:type="spellEnd"/>
      <w:r w:rsidR="0046269B">
        <w:t xml:space="preserve"> of 10 000 a year. This was </w:t>
      </w:r>
      <w:r w:rsidR="008C07CF">
        <w:t>subsequently</w:t>
      </w:r>
      <w:r w:rsidR="0046269B">
        <w:t xml:space="preserve"> increased in line with the NDP, but already by 2010 the 10 000 target was close to being </w:t>
      </w:r>
      <w:proofErr w:type="spellStart"/>
      <w:r w:rsidR="0046269B">
        <w:t>realised</w:t>
      </w:r>
      <w:proofErr w:type="spellEnd"/>
      <w:r w:rsidR="0046269B">
        <w:t xml:space="preserve">. Questions were being raised as to whether the artisans being produced were the correct ones for the SA economy, about the standards of training and the ability of newly qualified artisans to meet industry needs, and there were debates about the most effective learning pathway for an artisan. </w:t>
      </w:r>
      <w:r w:rsidR="008C07CF">
        <w:t>However,</w:t>
      </w:r>
      <w:r w:rsidR="0046269B">
        <w:t xml:space="preserve"> there was substantial agreement over the need to target resources at the artisan challenge and to drive the </w:t>
      </w:r>
      <w:proofErr w:type="spellStart"/>
      <w:r w:rsidR="0046269B">
        <w:t>programme</w:t>
      </w:r>
      <w:proofErr w:type="spellEnd"/>
      <w:r w:rsidR="0046269B">
        <w:t xml:space="preserve"> in both the public and private sectors. Whilst the targets were ambitious, they were clearly achievable and so the baseline for this aspect of the strategy was at a reasonable high level. </w:t>
      </w:r>
      <w:r>
        <w:br/>
      </w:r>
    </w:p>
    <w:p w14:paraId="79E72856" w14:textId="77777777" w:rsidR="00596E5C" w:rsidRDefault="00596E5C" w:rsidP="008C07CF">
      <w:pPr>
        <w:pStyle w:val="Heading2"/>
      </w:pPr>
      <w:bookmarkStart w:id="37" w:name="_Toc488525880"/>
      <w:r>
        <w:t xml:space="preserve">Public </w:t>
      </w:r>
      <w:r w:rsidR="00FE7D26">
        <w:t>FET c</w:t>
      </w:r>
      <w:r>
        <w:t>olleges and skills</w:t>
      </w:r>
      <w:bookmarkEnd w:id="37"/>
    </w:p>
    <w:p w14:paraId="340371D0" w14:textId="77777777" w:rsidR="00457995" w:rsidRDefault="00302FAA" w:rsidP="008C07CF">
      <w:r w:rsidRPr="00596E5C">
        <w:t>Public FET</w:t>
      </w:r>
      <w:r w:rsidR="00511982" w:rsidRPr="00596E5C">
        <w:t xml:space="preserve"> colleges</w:t>
      </w:r>
      <w:r w:rsidR="001F5EAE" w:rsidRPr="00596E5C">
        <w:t>’</w:t>
      </w:r>
      <w:r w:rsidR="00511982" w:rsidRPr="00596E5C">
        <w:t xml:space="preserve"> contribution to skills development was primarily delivering N-courses. The N-courses were </w:t>
      </w:r>
      <w:r w:rsidRPr="00596E5C">
        <w:t xml:space="preserve">considered </w:t>
      </w:r>
      <w:r w:rsidR="00511982" w:rsidRPr="00596E5C">
        <w:t xml:space="preserve">important as they often provided an entry qualification to </w:t>
      </w:r>
      <w:r w:rsidR="00511982" w:rsidRPr="00596E5C">
        <w:lastRenderedPageBreak/>
        <w:t xml:space="preserve">apprenticeships and </w:t>
      </w:r>
      <w:proofErr w:type="spellStart"/>
      <w:r w:rsidR="00511982" w:rsidRPr="00596E5C">
        <w:t>learnerships</w:t>
      </w:r>
      <w:proofErr w:type="spellEnd"/>
      <w:r w:rsidR="00511982" w:rsidRPr="00596E5C">
        <w:t xml:space="preserve">. </w:t>
      </w:r>
      <w:r w:rsidR="006C4806" w:rsidRPr="00596E5C">
        <w:t>However,</w:t>
      </w:r>
      <w:r w:rsidR="00511982" w:rsidRPr="00596E5C">
        <w:t xml:space="preserve"> </w:t>
      </w:r>
      <w:r w:rsidRPr="00596E5C">
        <w:t xml:space="preserve">following the introduction of </w:t>
      </w:r>
      <w:r w:rsidR="00FE7D26">
        <w:t xml:space="preserve">the </w:t>
      </w:r>
      <w:r w:rsidRPr="00596E5C">
        <w:t xml:space="preserve">NC(V), funding was diverted to the latter, a move that threatened their existence. Most notably, SETAs did not work closely with public FET colleges and </w:t>
      </w:r>
      <w:r w:rsidR="006C4806" w:rsidRPr="00596E5C">
        <w:t>most</w:t>
      </w:r>
      <w:r w:rsidR="00511982" w:rsidRPr="00596E5C">
        <w:t xml:space="preserve"> SETA funded </w:t>
      </w:r>
      <w:proofErr w:type="spellStart"/>
      <w:r w:rsidR="00511982" w:rsidRPr="00596E5C">
        <w:t>programmes</w:t>
      </w:r>
      <w:proofErr w:type="spellEnd"/>
      <w:r w:rsidR="00511982" w:rsidRPr="00596E5C">
        <w:t xml:space="preserve">, about 95%, were </w:t>
      </w:r>
      <w:r w:rsidR="00D26A68" w:rsidRPr="00596E5C">
        <w:t>delivered</w:t>
      </w:r>
      <w:r w:rsidR="00511982" w:rsidRPr="00596E5C">
        <w:t xml:space="preserve"> by private providers. </w:t>
      </w:r>
      <w:r w:rsidR="00FE7D26">
        <w:t xml:space="preserve">It is noteworthy that the plans set out in NSDS III for the delivery of skills through the colleges were very ambitious, given the very low levels of readiness in the colleges and the lack of recognition of their capability amongst employers. </w:t>
      </w:r>
    </w:p>
    <w:p w14:paraId="03321B19" w14:textId="0553AF96" w:rsidR="00596E5C" w:rsidRPr="00457995" w:rsidRDefault="00D33148" w:rsidP="008C07CF">
      <w:r w:rsidRPr="00596E5C">
        <w:t>T</w:t>
      </w:r>
      <w:r w:rsidR="0073102F" w:rsidRPr="00596E5C">
        <w:t xml:space="preserve">he capacity of FET colleges was weak. The lecturers were not appropriately qualified, and the extent of lecturer exposure to the industry was low. Partnerships with other key stakeholders were not well articulated and the lack of funding negatively impacted on the quality of </w:t>
      </w:r>
      <w:proofErr w:type="spellStart"/>
      <w:r w:rsidR="0073102F" w:rsidRPr="00596E5C">
        <w:t>programme</w:t>
      </w:r>
      <w:r w:rsidR="00457995">
        <w:t>s</w:t>
      </w:r>
      <w:proofErr w:type="spellEnd"/>
      <w:r w:rsidR="005A5D8F" w:rsidRPr="00596E5C">
        <w:t xml:space="preserve"> and declining number of </w:t>
      </w:r>
      <w:r w:rsidR="006C4806" w:rsidRPr="00596E5C">
        <w:t>artisans</w:t>
      </w:r>
      <w:r w:rsidR="00457995">
        <w:t xml:space="preserve"> being produced by the colleges</w:t>
      </w:r>
      <w:r w:rsidR="006C4806" w:rsidRPr="00596E5C">
        <w:t>. The</w:t>
      </w:r>
      <w:r w:rsidR="005A5D8F" w:rsidRPr="00596E5C">
        <w:t xml:space="preserve"> introduction of NC(V) </w:t>
      </w:r>
      <w:proofErr w:type="spellStart"/>
      <w:r w:rsidR="005A5D8F" w:rsidRPr="00596E5C">
        <w:t>programmes</w:t>
      </w:r>
      <w:proofErr w:type="spellEnd"/>
      <w:r w:rsidR="005A5D8F" w:rsidRPr="00596E5C">
        <w:t xml:space="preserve"> led to a coll</w:t>
      </w:r>
      <w:r w:rsidR="00457995">
        <w:t>apse</w:t>
      </w:r>
      <w:r w:rsidR="005A5D8F" w:rsidRPr="00596E5C">
        <w:t xml:space="preserve"> of </w:t>
      </w:r>
      <w:r w:rsidR="00457995">
        <w:t xml:space="preserve">the </w:t>
      </w:r>
      <w:r w:rsidR="005A5D8F" w:rsidRPr="00596E5C">
        <w:t>workplace experiential component</w:t>
      </w:r>
      <w:r w:rsidR="00457995">
        <w:t xml:space="preserve"> associated previously with apprenticeships</w:t>
      </w:r>
      <w:r w:rsidR="005A5D8F" w:rsidRPr="00596E5C">
        <w:t xml:space="preserve">, resulting in </w:t>
      </w:r>
      <w:r w:rsidR="00B57DE0" w:rsidRPr="00596E5C">
        <w:t>over-</w:t>
      </w:r>
      <w:r w:rsidR="006C4806" w:rsidRPr="00596E5C">
        <w:t>concentration</w:t>
      </w:r>
      <w:r w:rsidR="00B57DE0" w:rsidRPr="00596E5C">
        <w:t xml:space="preserve"> of theory learning.</w:t>
      </w:r>
      <w:r w:rsidR="00457995">
        <w:t xml:space="preserve"> In addition to the relationship between the colleges and employers being weak, the systems of SETAs used in the allocation of grants for </w:t>
      </w:r>
      <w:proofErr w:type="spellStart"/>
      <w:r w:rsidR="00457995">
        <w:t>programmes</w:t>
      </w:r>
      <w:proofErr w:type="spellEnd"/>
      <w:r w:rsidR="00457995">
        <w:t xml:space="preserve"> militated </w:t>
      </w:r>
      <w:r w:rsidR="008C07CF">
        <w:t>against</w:t>
      </w:r>
      <w:r w:rsidR="00457995">
        <w:t xml:space="preserve"> the involvement of the colleges in delivery of skills development </w:t>
      </w:r>
      <w:proofErr w:type="spellStart"/>
      <w:r w:rsidR="00457995">
        <w:t>programmes</w:t>
      </w:r>
      <w:proofErr w:type="spellEnd"/>
      <w:r w:rsidR="00457995">
        <w:t xml:space="preserve">. The baseline was at a very low level in respect of the vision set out in NSDS III. </w:t>
      </w:r>
    </w:p>
    <w:p w14:paraId="34463C17" w14:textId="77777777" w:rsidR="00596E5C" w:rsidRDefault="00596E5C" w:rsidP="008C07CF">
      <w:pPr>
        <w:pStyle w:val="Heading2"/>
      </w:pPr>
      <w:bookmarkStart w:id="38" w:name="_Toc488525881"/>
      <w:r w:rsidRPr="00596E5C">
        <w:t>Partnerships and Collaborations</w:t>
      </w:r>
      <w:bookmarkEnd w:id="38"/>
    </w:p>
    <w:p w14:paraId="057C0611" w14:textId="7FE17CF6" w:rsidR="0073102F" w:rsidRPr="00596E5C" w:rsidRDefault="00457995" w:rsidP="008C07CF">
      <w:r>
        <w:t>One generally agreed understanding of the skills system in 2010 was that it operated on the basis of silos. NSDS was intended to address the silos issue through a strong advocacy of partnerships. However as of 2010 m</w:t>
      </w:r>
      <w:r w:rsidR="00596E5C" w:rsidRPr="00596E5C">
        <w:t xml:space="preserve">ulti-stakeholder partnerships to deliver the required skills sets were not systematically conceptualized, structured, project </w:t>
      </w:r>
      <w:proofErr w:type="spellStart"/>
      <w:r w:rsidR="00596E5C" w:rsidRPr="00596E5C">
        <w:t>managed</w:t>
      </w:r>
      <w:proofErr w:type="spellEnd"/>
      <w:r w:rsidR="00596E5C" w:rsidRPr="00596E5C">
        <w:t xml:space="preserve"> and reported on. The Department did not have a strategic framework for partnerships for youth, universities, colleges, public service, NGOs, cooperatives and SMMEs. SETAs were encouraged to partner but not given any framework </w:t>
      </w:r>
      <w:r>
        <w:t xml:space="preserve">within which </w:t>
      </w:r>
      <w:r w:rsidR="00596E5C" w:rsidRPr="00596E5C">
        <w:t xml:space="preserve">to do that. JIPSA ushered in a new dimension, namely identifying blockages and bringing stakeholders together to address them, brokering agreements where there were disputes and obstacles. </w:t>
      </w:r>
      <w:r w:rsidR="002410F9">
        <w:t xml:space="preserve">JIPSA’s </w:t>
      </w:r>
      <w:r w:rsidR="00596E5C" w:rsidRPr="00596E5C">
        <w:t xml:space="preserve">success brought about awareness of the need for collaborative approach, and the important roles of funders, organized </w:t>
      </w:r>
      <w:proofErr w:type="spellStart"/>
      <w:r w:rsidR="00596E5C" w:rsidRPr="00596E5C">
        <w:t>labour</w:t>
      </w:r>
      <w:proofErr w:type="spellEnd"/>
      <w:r w:rsidR="00596E5C" w:rsidRPr="00596E5C">
        <w:t xml:space="preserve"> and employers. </w:t>
      </w:r>
      <w:r w:rsidR="008C07CF">
        <w:t>However,</w:t>
      </w:r>
      <w:r>
        <w:t xml:space="preserve"> the mechanisms for achieving this were not in place and it was clear that </w:t>
      </w:r>
      <w:r w:rsidR="008C07CF">
        <w:t>in</w:t>
      </w:r>
      <w:r>
        <w:t xml:space="preserve"> spite of </w:t>
      </w:r>
      <w:r w:rsidR="002410F9">
        <w:t xml:space="preserve">JIPSA’s </w:t>
      </w:r>
      <w:r>
        <w:t xml:space="preserve">success partnerships were going to be a big challenge over the period of NSDS III. </w:t>
      </w:r>
    </w:p>
    <w:p w14:paraId="02017E24" w14:textId="77777777" w:rsidR="008C07CF" w:rsidRDefault="008C07CF" w:rsidP="008C07CF">
      <w:pPr>
        <w:pStyle w:val="Heading2"/>
        <w:rPr>
          <w:rFonts w:cstheme="minorHAnsi"/>
          <w:sz w:val="22"/>
        </w:rPr>
      </w:pPr>
      <w:bookmarkStart w:id="39" w:name="_Toc488525882"/>
      <w:r>
        <w:t>Youth</w:t>
      </w:r>
      <w:bookmarkEnd w:id="39"/>
      <w:r>
        <w:br/>
      </w:r>
    </w:p>
    <w:p w14:paraId="0E50D4E4" w14:textId="77777777" w:rsidR="008C07CF" w:rsidRPr="008C07CF" w:rsidRDefault="008C07CF" w:rsidP="008C07CF">
      <w:r>
        <w:t xml:space="preserve">There had been targets for the </w:t>
      </w:r>
      <w:proofErr w:type="spellStart"/>
      <w:r>
        <w:t>prioritising</w:t>
      </w:r>
      <w:proofErr w:type="spellEnd"/>
      <w:r>
        <w:t xml:space="preserve"> of young people during NSDS I and II and so the number of young people receiving training was substantial in 2010 and a solid base to build on. The challenge was that NSDS III was changing the focus from youth as a proportion of those being trained to the skills system addressing, or contributing to addressing, the challenge of the </w:t>
      </w:r>
      <w:r>
        <w:lastRenderedPageBreak/>
        <w:t>3 million NEETSs. This was a substantial change in gear</w:t>
      </w:r>
      <w:r w:rsidR="003900B1">
        <w:t xml:space="preserve">, and one that was going to be difficult to address. There was no clear responsibility within government for the NEETS challenge. Many departments would feel the need to contribute including DBE, DHET, Public Works (EPWP), DSD, COGTA (LED), Small Business, DTI, EDD, and others. </w:t>
      </w:r>
      <w:proofErr w:type="gramStart"/>
      <w:r w:rsidR="003900B1">
        <w:t>However</w:t>
      </w:r>
      <w:proofErr w:type="gramEnd"/>
      <w:r w:rsidR="003900B1">
        <w:t xml:space="preserve"> lead responsibility was unclear and the way that the challenge was articulated (lack of skills and employability) seemed to indicate a significant responsibility for the DHET and the skills system. The key was probably to clarify the role of each stakeholder and for each to have relevant and specific targets and indicators. </w:t>
      </w:r>
      <w:proofErr w:type="gramStart"/>
      <w:r w:rsidR="003900B1">
        <w:t>However</w:t>
      </w:r>
      <w:proofErr w:type="gramEnd"/>
      <w:r w:rsidR="003900B1">
        <w:t xml:space="preserve"> that was lacking and so there was a huge challenge being taken on and a very limited level of capacity to deal with it. Whilst the numbers of young people trained is a reasonable start, and one that can be used as a fairly well developed baseline, the numbers are very low when placed alongside the numbers of NEETS. It is perhaps necessary to clarify further exactly what was intended in NSDS III before determining the baseline</w:t>
      </w:r>
      <w:r w:rsidR="00441605">
        <w:t>.</w:t>
      </w:r>
    </w:p>
    <w:p w14:paraId="4E03EFF1" w14:textId="77777777" w:rsidR="00596E5C" w:rsidRPr="00596E5C" w:rsidRDefault="00BB4EFA" w:rsidP="008C07CF">
      <w:pPr>
        <w:pStyle w:val="Heading2"/>
        <w:rPr>
          <w:rFonts w:cstheme="minorHAnsi"/>
          <w:sz w:val="22"/>
        </w:rPr>
      </w:pPr>
      <w:bookmarkStart w:id="40" w:name="_Toc488525883"/>
      <w:r w:rsidRPr="00457995">
        <w:t>Support to SMMEs, CB</w:t>
      </w:r>
      <w:r w:rsidR="002378CB">
        <w:t>O, NPO and c</w:t>
      </w:r>
      <w:r w:rsidR="00D33148" w:rsidRPr="00457995">
        <w:t>onstituent partners</w:t>
      </w:r>
      <w:bookmarkEnd w:id="40"/>
    </w:p>
    <w:p w14:paraId="0818DB7A" w14:textId="77777777" w:rsidR="004B1014" w:rsidRPr="00457995" w:rsidRDefault="002378CB" w:rsidP="008C07CF">
      <w:r>
        <w:t xml:space="preserve">There was already a commitment to working with SMMEs during the two previous NSDSs. </w:t>
      </w:r>
      <w:r w:rsidR="00BB4EFA" w:rsidRPr="00596E5C">
        <w:t xml:space="preserve">To some extent, activities were </w:t>
      </w:r>
      <w:r>
        <w:t xml:space="preserve">in place to identify SMMEs, understand their skills needs and promote training for them. </w:t>
      </w:r>
      <w:r w:rsidR="008C07CF">
        <w:t>However,</w:t>
      </w:r>
      <w:r>
        <w:t xml:space="preserve"> in spite of the reported numbers trained, the reality was that the vast majority of small enterprises did not submit WSPs, did not apply for discretionary funds and generally were not well serviced. So although the numbers reported were evidence of work done with SMMEs,</w:t>
      </w:r>
      <w:r w:rsidR="008C16F4" w:rsidRPr="00596E5C">
        <w:t xml:space="preserve"> there wa</w:t>
      </w:r>
      <w:r w:rsidR="00BB4EFA" w:rsidRPr="00596E5C">
        <w:t xml:space="preserve">s little evidence of any impact assessments and evaluation of the </w:t>
      </w:r>
      <w:proofErr w:type="spellStart"/>
      <w:r w:rsidR="00BB4EFA" w:rsidRPr="00596E5C">
        <w:t>programmes</w:t>
      </w:r>
      <w:proofErr w:type="spellEnd"/>
      <w:r w:rsidR="008C16F4" w:rsidRPr="00596E5C">
        <w:t xml:space="preserve"> conducted by the SE</w:t>
      </w:r>
      <w:r w:rsidR="005F7592" w:rsidRPr="00596E5C">
        <w:t>TA</w:t>
      </w:r>
      <w:r w:rsidR="008C16F4" w:rsidRPr="00596E5C">
        <w:t>s</w:t>
      </w:r>
      <w:r w:rsidR="00BB4EFA" w:rsidRPr="00596E5C">
        <w:t xml:space="preserve">. </w:t>
      </w:r>
      <w:r>
        <w:t xml:space="preserve">Cooperatives had been registered in large numbers during NSDS II and most had collapsed or become entities in name only by the end of NSDS II. This cannot be placed at the door of the SETAs and there are a range of interventions needed that did not materialize, but the lack of skills was a factor and there was limited evidence of real skills development to support cooperatives. The difficulty in establishing a baseline is that there was (is) no centralized database of small enterprises and cooperatives, there is little evidence of meaningful </w:t>
      </w:r>
      <w:proofErr w:type="spellStart"/>
      <w:r>
        <w:t>programmes</w:t>
      </w:r>
      <w:proofErr w:type="spellEnd"/>
      <w:r>
        <w:t xml:space="preserve"> being delivered to consolidate and grow small and micro enterprises and no tracking mechanism was (is) in place to be able to assess what was being delivered in 2010. There is some evidence that the numbers reported were not really small enterprises at all but rather unemployed people recruited to “entrepreneurial” or “New Venture” </w:t>
      </w:r>
      <w:proofErr w:type="spellStart"/>
      <w:r>
        <w:t>programmes</w:t>
      </w:r>
      <w:proofErr w:type="spellEnd"/>
      <w:r>
        <w:t xml:space="preserve">. </w:t>
      </w:r>
    </w:p>
    <w:p w14:paraId="3CA89284" w14:textId="77777777" w:rsidR="00CF4C12" w:rsidRDefault="00CF4C12" w:rsidP="008C07CF">
      <w:pPr>
        <w:pStyle w:val="Heading2"/>
      </w:pPr>
      <w:bookmarkStart w:id="41" w:name="_Toc488525884"/>
      <w:r>
        <w:t>The public service</w:t>
      </w:r>
      <w:bookmarkEnd w:id="41"/>
      <w:r>
        <w:br/>
      </w:r>
    </w:p>
    <w:p w14:paraId="2A099876" w14:textId="77777777" w:rsidR="00CF4C12" w:rsidRPr="00CF4C12" w:rsidRDefault="00CF4C12" w:rsidP="008C07CF">
      <w:r>
        <w:t>There were already challenges in relation to skills development for effective service delivery priory to the 2007 ANC conference. That conference raised the expectation that there would be an “Interventionist” or “developmental” state</w:t>
      </w:r>
      <w:r w:rsidR="00C81388">
        <w:t xml:space="preserve">, so the challenge was magnified. In 2010 the main SETA involved (PSETA) was placed under administration. There were no mechanisms for ensuring that the skills </w:t>
      </w:r>
      <w:proofErr w:type="gramStart"/>
      <w:r w:rsidR="00C81388">
        <w:t>needs</w:t>
      </w:r>
      <w:proofErr w:type="gramEnd"/>
      <w:r w:rsidR="00C81388">
        <w:t xml:space="preserve"> of public service employees would be addressed, nor funding </w:t>
      </w:r>
      <w:r w:rsidR="00C81388">
        <w:lastRenderedPageBreak/>
        <w:t xml:space="preserve">mechanisms to enable new entrants to engage in </w:t>
      </w:r>
      <w:proofErr w:type="spellStart"/>
      <w:r w:rsidR="00C81388">
        <w:t>learnerships</w:t>
      </w:r>
      <w:proofErr w:type="spellEnd"/>
      <w:r w:rsidR="00C81388">
        <w:t xml:space="preserve"> and other </w:t>
      </w:r>
      <w:proofErr w:type="spellStart"/>
      <w:r w:rsidR="00C81388">
        <w:t>programmes</w:t>
      </w:r>
      <w:proofErr w:type="spellEnd"/>
      <w:r w:rsidR="00C81388">
        <w:t xml:space="preserve"> in the public service. Skills development was taking place but the role of the skills system in that was difficult to define and quantify. A ministerial team was examining funding arrangements but for the publ</w:t>
      </w:r>
      <w:bookmarkStart w:id="42" w:name="_GoBack"/>
      <w:bookmarkEnd w:id="42"/>
      <w:r w:rsidR="00C81388">
        <w:t xml:space="preserve">ic service SETAs at the time NSDS III must have seemed extremely ambitious. The baseline for this set of outputs was at a very low level. </w:t>
      </w:r>
    </w:p>
    <w:p w14:paraId="4D2ABDC9" w14:textId="77777777" w:rsidR="00596E5C" w:rsidRPr="00596E5C" w:rsidRDefault="00596E5C" w:rsidP="008C07CF">
      <w:pPr>
        <w:pStyle w:val="Heading2"/>
      </w:pPr>
      <w:bookmarkStart w:id="43" w:name="_Toc488525885"/>
      <w:r w:rsidRPr="00596E5C">
        <w:t>Career development</w:t>
      </w:r>
      <w:bookmarkEnd w:id="43"/>
    </w:p>
    <w:p w14:paraId="7BBF9677" w14:textId="0883E60D" w:rsidR="004B1014" w:rsidRPr="00596E5C" w:rsidRDefault="00CF4C12" w:rsidP="008C07CF">
      <w:r>
        <w:t xml:space="preserve">It is important to note that career development was an important aspect of skills development but responsibility was not solely with or mainly with the SETAs. There are a range of important stakeholders engaged in career development and it is fair to say that the whole process of establishing a career development service was at a very early stage in 2010. Most SETAs were producing career guides, mainly linked to occupational qualifications within the primary focus of the SETA. It is also the case that SETAs were engaged in </w:t>
      </w:r>
      <w:r w:rsidR="007A7993">
        <w:t xml:space="preserve">fares </w:t>
      </w:r>
      <w:r>
        <w:t xml:space="preserve">and other communication activities. However systematic information, advice and guidance was not well developed and NSDS III was attempting to provide a boost to one part of the career development system. </w:t>
      </w:r>
    </w:p>
    <w:p w14:paraId="7FFC5A3F" w14:textId="77777777" w:rsidR="00596E5C" w:rsidRPr="00596E5C" w:rsidRDefault="00596E5C" w:rsidP="008C07CF">
      <w:pPr>
        <w:pStyle w:val="Heading2"/>
      </w:pPr>
      <w:bookmarkStart w:id="44" w:name="_Toc488525886"/>
      <w:r>
        <w:t>Data</w:t>
      </w:r>
      <w:bookmarkEnd w:id="44"/>
    </w:p>
    <w:p w14:paraId="0F1F2F61" w14:textId="77777777" w:rsidR="004B1014" w:rsidRPr="00596E5C" w:rsidRDefault="004B1014" w:rsidP="008C07CF">
      <w:r w:rsidRPr="00596E5C">
        <w:t xml:space="preserve">The glaring and most significant handicap to general planning was poor information management, from data collection to storage. Most of the SETAs websites do not have the documents which define their existence. </w:t>
      </w:r>
      <w:r w:rsidR="00CF4C12">
        <w:t xml:space="preserve">There is no </w:t>
      </w:r>
      <w:r w:rsidR="008C07CF">
        <w:t>central</w:t>
      </w:r>
      <w:r w:rsidR="00CF4C12">
        <w:t xml:space="preserve"> repository to be able to research past work, and the lack of a central database is a challenge. </w:t>
      </w:r>
    </w:p>
    <w:p w14:paraId="3A6965E5" w14:textId="77777777" w:rsidR="00D33148" w:rsidRDefault="00D33148" w:rsidP="008C07CF">
      <w:r>
        <w:br w:type="page"/>
      </w:r>
    </w:p>
    <w:p w14:paraId="7876CADE" w14:textId="77777777" w:rsidR="00060149" w:rsidRPr="00AA4BA0" w:rsidRDefault="0046269B" w:rsidP="008C07CF">
      <w:pPr>
        <w:pStyle w:val="Heading1"/>
      </w:pPr>
      <w:bookmarkStart w:id="45" w:name="_Toc488525887"/>
      <w:r>
        <w:lastRenderedPageBreak/>
        <w:t>REFERENCES</w:t>
      </w:r>
      <w:bookmarkEnd w:id="45"/>
    </w:p>
    <w:p w14:paraId="0051AE33" w14:textId="77777777" w:rsidR="00CD05A0" w:rsidRPr="00AA4BA0" w:rsidRDefault="00CD05A0" w:rsidP="008C07CF"/>
    <w:p w14:paraId="58947E44" w14:textId="77777777" w:rsidR="004A6D70" w:rsidRDefault="004A6D70" w:rsidP="008C07CF">
      <w:proofErr w:type="spellStart"/>
      <w:r>
        <w:t>AgriSeta</w:t>
      </w:r>
      <w:proofErr w:type="spellEnd"/>
      <w:r>
        <w:t xml:space="preserve"> (2010) Sector Analysis Report. </w:t>
      </w:r>
      <w:hyperlink r:id="rId11" w:history="1">
        <w:r w:rsidRPr="007B0680">
          <w:rPr>
            <w:rStyle w:val="Hyperlink"/>
            <w:rFonts w:cstheme="minorHAnsi"/>
            <w:sz w:val="22"/>
          </w:rPr>
          <w:t>http://www.agriseta.co.za/downloads/news/AGRISETA_Sector_Analysis_290610-version_2.pdf</w:t>
        </w:r>
      </w:hyperlink>
      <w:r>
        <w:t>. Accessed 03/06/2017</w:t>
      </w:r>
    </w:p>
    <w:p w14:paraId="53BCE932" w14:textId="77777777" w:rsidR="005455A5" w:rsidRDefault="005455A5" w:rsidP="008C07CF">
      <w:proofErr w:type="spellStart"/>
      <w:r>
        <w:t>Bown</w:t>
      </w:r>
      <w:proofErr w:type="spellEnd"/>
      <w:r>
        <w:t xml:space="preserve">, A (2010). NPO </w:t>
      </w:r>
      <w:r w:rsidR="008C07CF">
        <w:t>Forecast</w:t>
      </w:r>
      <w:r>
        <w:t xml:space="preserve"> for 2010. </w:t>
      </w:r>
      <w:hyperlink r:id="rId12" w:history="1">
        <w:r w:rsidRPr="00441BAD">
          <w:rPr>
            <w:rStyle w:val="Hyperlink"/>
            <w:rFonts w:cstheme="minorHAnsi"/>
            <w:sz w:val="22"/>
          </w:rPr>
          <w:t>http://www.ngopulse.org/article/npo-forecast-2010</w:t>
        </w:r>
      </w:hyperlink>
      <w:r>
        <w:t>. Accessed 27/05/2017</w:t>
      </w:r>
    </w:p>
    <w:p w14:paraId="114AFA02" w14:textId="77777777" w:rsidR="00F6286F" w:rsidRPr="00AA4BA0" w:rsidRDefault="00F6286F" w:rsidP="008C07CF">
      <w:proofErr w:type="spellStart"/>
      <w:r>
        <w:t>Cosser</w:t>
      </w:r>
      <w:proofErr w:type="spellEnd"/>
      <w:r>
        <w:t xml:space="preserve">, M. </w:t>
      </w:r>
      <w:proofErr w:type="spellStart"/>
      <w:proofErr w:type="gramStart"/>
      <w:r>
        <w:t>Mcwango,B</w:t>
      </w:r>
      <w:proofErr w:type="spellEnd"/>
      <w:r>
        <w:t>.</w:t>
      </w:r>
      <w:proofErr w:type="gramEnd"/>
      <w:r>
        <w:t xml:space="preserve"> </w:t>
      </w:r>
      <w:proofErr w:type="spellStart"/>
      <w:r>
        <w:t>Twala</w:t>
      </w:r>
      <w:proofErr w:type="spellEnd"/>
      <w:r>
        <w:t xml:space="preserve">, t. </w:t>
      </w:r>
      <w:proofErr w:type="spellStart"/>
      <w:r>
        <w:t>Roodt</w:t>
      </w:r>
      <w:proofErr w:type="spellEnd"/>
      <w:r>
        <w:t xml:space="preserve">, j. </w:t>
      </w:r>
      <w:proofErr w:type="spellStart"/>
      <w:r>
        <w:t>Ngazimbi</w:t>
      </w:r>
      <w:proofErr w:type="spellEnd"/>
      <w:r>
        <w:t xml:space="preserve">,. (2012). Impact of Skills Development Support on Small, Medium and Large </w:t>
      </w:r>
      <w:r w:rsidR="006C4806">
        <w:t>Enterprises</w:t>
      </w:r>
      <w:r>
        <w:t xml:space="preserve"> and BEE </w:t>
      </w:r>
      <w:r w:rsidR="006C4806">
        <w:t>Cooperatives</w:t>
      </w:r>
      <w:r>
        <w:t xml:space="preserve">: education and Skills Research </w:t>
      </w:r>
      <w:proofErr w:type="spellStart"/>
      <w:r>
        <w:t>Programme</w:t>
      </w:r>
      <w:proofErr w:type="spellEnd"/>
      <w:r>
        <w:t xml:space="preserve">, HSRC. </w:t>
      </w:r>
      <w:hyperlink r:id="rId13" w:history="1">
        <w:r w:rsidRPr="002F61E1">
          <w:rPr>
            <w:rStyle w:val="Hyperlink"/>
            <w:rFonts w:cstheme="minorHAnsi"/>
            <w:sz w:val="22"/>
          </w:rPr>
          <w:t>www.hsrc.ac.ac/en/research-data/ktree-doc/11022</w:t>
        </w:r>
      </w:hyperlink>
      <w:r>
        <w:t>. Accessed 26/05/2017</w:t>
      </w:r>
    </w:p>
    <w:p w14:paraId="0465E636" w14:textId="77777777" w:rsidR="003D3091" w:rsidRDefault="003D3091" w:rsidP="008C07CF">
      <w:r>
        <w:t xml:space="preserve">Department of </w:t>
      </w:r>
      <w:proofErr w:type="spellStart"/>
      <w:r>
        <w:t>Labour</w:t>
      </w:r>
      <w:proofErr w:type="spellEnd"/>
      <w:r>
        <w:t xml:space="preserve">, (2008). Scares and Critical Skills Project. </w:t>
      </w:r>
      <w:hyperlink r:id="rId14" w:history="1">
        <w:r w:rsidRPr="004F4F7F">
          <w:rPr>
            <w:rStyle w:val="Hyperlink"/>
            <w:rFonts w:cstheme="minorHAnsi"/>
            <w:sz w:val="22"/>
          </w:rPr>
          <w:t>http://www.labour.gov.za/DOL/downloads/documents/researchdocuments/Artisans%20trades_DoL_Report.pdf</w:t>
        </w:r>
      </w:hyperlink>
      <w:r>
        <w:t xml:space="preserve">. Accessed 25/05/2017 </w:t>
      </w:r>
    </w:p>
    <w:p w14:paraId="543D6408" w14:textId="77777777" w:rsidR="00074D5D" w:rsidRDefault="00074D5D" w:rsidP="008C07CF">
      <w:pPr>
        <w:rPr>
          <w:rFonts w:cstheme="minorHAnsi"/>
          <w:sz w:val="22"/>
        </w:rPr>
      </w:pPr>
      <w:r>
        <w:rPr>
          <w:rFonts w:cstheme="minorHAnsi"/>
          <w:sz w:val="22"/>
        </w:rPr>
        <w:t xml:space="preserve">Department of </w:t>
      </w:r>
      <w:proofErr w:type="spellStart"/>
      <w:r>
        <w:rPr>
          <w:rFonts w:cstheme="minorHAnsi"/>
          <w:sz w:val="22"/>
        </w:rPr>
        <w:t>Labour</w:t>
      </w:r>
      <w:proofErr w:type="spellEnd"/>
      <w:r>
        <w:rPr>
          <w:rFonts w:cstheme="minorHAnsi"/>
          <w:sz w:val="22"/>
        </w:rPr>
        <w:t xml:space="preserve"> (2011). Annual Report 2010/11. </w:t>
      </w:r>
      <w:hyperlink r:id="rId15" w:history="1">
        <w:r w:rsidRPr="007B0680">
          <w:rPr>
            <w:rStyle w:val="Hyperlink"/>
            <w:rFonts w:cstheme="minorHAnsi"/>
            <w:sz w:val="22"/>
          </w:rPr>
          <w:t>http://www.labour.gov.za/DOL/downloads/documents/annual-reports/departmental-annual-reports/2010/Section%202%20(B)%20Programme%20Performance%20PFMA%202010.pdf</w:t>
        </w:r>
      </w:hyperlink>
      <w:r>
        <w:rPr>
          <w:rFonts w:cstheme="minorHAnsi"/>
          <w:sz w:val="22"/>
        </w:rPr>
        <w:t>. Accessed 03/06/2017</w:t>
      </w:r>
    </w:p>
    <w:p w14:paraId="52336C82" w14:textId="77777777" w:rsidR="00563D02" w:rsidRPr="00AA4BA0" w:rsidRDefault="00563D02" w:rsidP="008C07CF">
      <w:r w:rsidRPr="00AA4BA0">
        <w:t>Department of Higher Education and Training (</w:t>
      </w:r>
      <w:proofErr w:type="spellStart"/>
      <w:r w:rsidRPr="00AA4BA0">
        <w:t>n.d</w:t>
      </w:r>
      <w:proofErr w:type="spellEnd"/>
      <w:r w:rsidRPr="00AA4BA0">
        <w:t xml:space="preserve">), </w:t>
      </w:r>
      <w:r w:rsidRPr="00AA4BA0">
        <w:rPr>
          <w:i/>
        </w:rPr>
        <w:t>NSDS III Implementation Progress Report 2011-2013.</w:t>
      </w:r>
      <w:r w:rsidRPr="00AA4BA0">
        <w:t xml:space="preserve"> Pretoria, RSA</w:t>
      </w:r>
    </w:p>
    <w:p w14:paraId="19D69CC2" w14:textId="77777777" w:rsidR="00563D02" w:rsidRPr="00AA4BA0" w:rsidRDefault="00563D02" w:rsidP="008C07CF">
      <w:r w:rsidRPr="00AA4BA0">
        <w:t xml:space="preserve">Department of Higher Education and Training, (2010). </w:t>
      </w:r>
      <w:r w:rsidRPr="00AA4BA0">
        <w:rPr>
          <w:i/>
        </w:rPr>
        <w:t xml:space="preserve">Human Resources Development South Africa, </w:t>
      </w:r>
      <w:r w:rsidRPr="00AA4BA0">
        <w:rPr>
          <w:i/>
          <w:iCs/>
        </w:rPr>
        <w:t xml:space="preserve">2010-2030. </w:t>
      </w:r>
      <w:r w:rsidRPr="00AA4BA0">
        <w:t>Pretoria, RSA</w:t>
      </w:r>
    </w:p>
    <w:p w14:paraId="594876AC" w14:textId="77777777" w:rsidR="00563D02" w:rsidRPr="00AA4BA0" w:rsidRDefault="00563D02" w:rsidP="008C07CF">
      <w:pPr>
        <w:rPr>
          <w:lang w:val="en-ZA"/>
        </w:rPr>
      </w:pPr>
      <w:r w:rsidRPr="00AA4BA0">
        <w:t xml:space="preserve">Department of Higher Education and Training, (2011). </w:t>
      </w:r>
      <w:r w:rsidRPr="00AA4BA0">
        <w:rPr>
          <w:i/>
        </w:rPr>
        <w:t>National Skills Development Strategy III, 2011-2016.</w:t>
      </w:r>
      <w:r w:rsidRPr="00AA4BA0">
        <w:t xml:space="preserve"> Pretoria, RSA </w:t>
      </w:r>
    </w:p>
    <w:p w14:paraId="4BFD872A" w14:textId="77777777" w:rsidR="00563D02" w:rsidRPr="00AA4BA0" w:rsidRDefault="00563D02" w:rsidP="008C07CF">
      <w:r w:rsidRPr="00AA4BA0">
        <w:t>Department of Higher Education and Training, (2011/2012). Revised Strategic Plan 2010/11-2014/15 and Op</w:t>
      </w:r>
      <w:r w:rsidRPr="00AA4BA0">
        <w:rPr>
          <w:iCs/>
        </w:rPr>
        <w:t>erational Plans for the 2011/12 Financial Year</w:t>
      </w:r>
      <w:r w:rsidR="00322E27" w:rsidRPr="00AA4BA0">
        <w:rPr>
          <w:iCs/>
        </w:rPr>
        <w:t>.</w:t>
      </w:r>
      <w:r w:rsidRPr="00AA4BA0">
        <w:t xml:space="preserve"> Pretoria, RSA</w:t>
      </w:r>
    </w:p>
    <w:p w14:paraId="58373890" w14:textId="77777777" w:rsidR="00563D02" w:rsidRPr="00AA4BA0" w:rsidRDefault="00563D02" w:rsidP="008C07CF">
      <w:pPr>
        <w:rPr>
          <w:lang w:val="en-ZA"/>
        </w:rPr>
      </w:pPr>
      <w:r w:rsidRPr="00AA4BA0">
        <w:rPr>
          <w:lang w:val="en-ZA"/>
        </w:rPr>
        <w:t xml:space="preserve">Department of Higher Education and Training, (2013). </w:t>
      </w:r>
      <w:r w:rsidRPr="00AA4BA0">
        <w:rPr>
          <w:i/>
          <w:lang w:val="en-ZA"/>
        </w:rPr>
        <w:t>Annual Report 2011/12.</w:t>
      </w:r>
      <w:r w:rsidRPr="00AA4BA0">
        <w:rPr>
          <w:lang w:val="en-ZA"/>
        </w:rPr>
        <w:t xml:space="preserve"> Pretoria, RSA</w:t>
      </w:r>
    </w:p>
    <w:p w14:paraId="5981D224" w14:textId="77777777" w:rsidR="00563D02" w:rsidRDefault="00563D02" w:rsidP="008C07CF">
      <w:r w:rsidRPr="00AA4BA0">
        <w:t>Department of Higher Education and Training, (2013). Statistics on Post-School Education and Training in South Africa: 2011</w:t>
      </w:r>
      <w:r w:rsidR="00322E27" w:rsidRPr="00AA4BA0">
        <w:t>.</w:t>
      </w:r>
      <w:r w:rsidRPr="00AA4BA0">
        <w:t xml:space="preserve"> Pretoria, RSA. </w:t>
      </w:r>
    </w:p>
    <w:p w14:paraId="64678325" w14:textId="77777777" w:rsidR="005B7657" w:rsidRPr="00AA4BA0" w:rsidRDefault="005B7657" w:rsidP="008C07CF">
      <w:r w:rsidRPr="00AA4BA0">
        <w:t>Department of Higher Education and Training, (2013). Statistics on Post-School Education and Training in South Africa: 201</w:t>
      </w:r>
      <w:r>
        <w:t>0</w:t>
      </w:r>
      <w:r w:rsidRPr="00AA4BA0">
        <w:t xml:space="preserve">. Pretoria, RSA. </w:t>
      </w:r>
    </w:p>
    <w:p w14:paraId="721F1B00" w14:textId="77777777" w:rsidR="00751C59" w:rsidRPr="00AA4BA0" w:rsidRDefault="00751C59" w:rsidP="008C07CF">
      <w:r w:rsidRPr="00AA4BA0">
        <w:lastRenderedPageBreak/>
        <w:t xml:space="preserve">Department of Higher Education and Training, (2016). </w:t>
      </w:r>
      <w:r w:rsidRPr="00AA4BA0">
        <w:rPr>
          <w:i/>
        </w:rPr>
        <w:t>Statistics on Post School Education and Training in South Africa</w:t>
      </w:r>
      <w:r w:rsidRPr="00AA4BA0">
        <w:t xml:space="preserve"> </w:t>
      </w:r>
      <w:r w:rsidRPr="00AA4BA0">
        <w:rPr>
          <w:i/>
        </w:rPr>
        <w:t>2014</w:t>
      </w:r>
      <w:r w:rsidRPr="00AA4BA0">
        <w:t xml:space="preserve">. Pretoria, RSA, </w:t>
      </w:r>
    </w:p>
    <w:p w14:paraId="2E5BB2CE" w14:textId="77777777" w:rsidR="00563D02" w:rsidRPr="00AA4BA0" w:rsidRDefault="00563D02" w:rsidP="008C07CF">
      <w:pPr>
        <w:rPr>
          <w:rFonts w:eastAsia="Calibri"/>
          <w:bCs/>
          <w:lang w:val="en-ZA"/>
        </w:rPr>
      </w:pPr>
      <w:r w:rsidRPr="00AA4BA0">
        <w:t xml:space="preserve">Department of Higher Education and Training, (2017). </w:t>
      </w:r>
      <w:r w:rsidRPr="00AA4BA0">
        <w:rPr>
          <w:i/>
          <w:lang w:val="en-ZA"/>
        </w:rPr>
        <w:t>Mid-Term Review of Outcome 5 of the Medium-Term Strategic Framework</w:t>
      </w:r>
      <w:r w:rsidR="00322E27" w:rsidRPr="00AA4BA0">
        <w:rPr>
          <w:lang w:val="en-ZA"/>
        </w:rPr>
        <w:t>.</w:t>
      </w:r>
      <w:r w:rsidRPr="00AA4BA0">
        <w:rPr>
          <w:lang w:val="en-ZA"/>
        </w:rPr>
        <w:t xml:space="preserve"> Pretoria, </w:t>
      </w:r>
      <w:r w:rsidRPr="00AA4BA0">
        <w:t>RSA</w:t>
      </w:r>
      <w:r w:rsidRPr="00AA4BA0">
        <w:rPr>
          <w:rFonts w:eastAsia="Calibri"/>
          <w:bCs/>
          <w:lang w:val="en-ZA"/>
        </w:rPr>
        <w:t xml:space="preserve"> </w:t>
      </w:r>
    </w:p>
    <w:p w14:paraId="0EE76095" w14:textId="77777777" w:rsidR="00563D02" w:rsidRPr="00AA4BA0" w:rsidRDefault="00563D02" w:rsidP="008C07CF">
      <w:pPr>
        <w:rPr>
          <w:lang w:val="en-ZA"/>
        </w:rPr>
      </w:pPr>
      <w:r w:rsidRPr="00AA4BA0">
        <w:rPr>
          <w:lang w:val="en-ZA"/>
        </w:rPr>
        <w:t>Department of Hi</w:t>
      </w:r>
      <w:r w:rsidR="00C92851" w:rsidRPr="00AA4BA0">
        <w:rPr>
          <w:lang w:val="en-ZA"/>
        </w:rPr>
        <w:t>gher Education and Training, (2013</w:t>
      </w:r>
      <w:r w:rsidRPr="00AA4BA0">
        <w:rPr>
          <w:lang w:val="en-ZA"/>
        </w:rPr>
        <w:t xml:space="preserve">). </w:t>
      </w:r>
      <w:r w:rsidRPr="00AA4BA0">
        <w:rPr>
          <w:i/>
          <w:lang w:val="en-ZA"/>
        </w:rPr>
        <w:t>Green Paper for Post School Education and Training.</w:t>
      </w:r>
      <w:r w:rsidRPr="00AA4BA0">
        <w:rPr>
          <w:lang w:val="en-ZA"/>
        </w:rPr>
        <w:t xml:space="preserve"> Pretoria, RSA </w:t>
      </w:r>
    </w:p>
    <w:p w14:paraId="5D70DC24" w14:textId="77777777" w:rsidR="00563D02" w:rsidRPr="00AA4BA0" w:rsidRDefault="00563D02" w:rsidP="008C07CF">
      <w:r w:rsidRPr="00AA4BA0">
        <w:t xml:space="preserve">Department of Higher Education and Training, </w:t>
      </w:r>
      <w:r w:rsidR="00322E27" w:rsidRPr="00AA4BA0">
        <w:t>(</w:t>
      </w:r>
      <w:r w:rsidRPr="00AA4BA0">
        <w:t>2013</w:t>
      </w:r>
      <w:r w:rsidR="00322E27" w:rsidRPr="00AA4BA0">
        <w:t>)</w:t>
      </w:r>
      <w:r w:rsidRPr="00AA4BA0">
        <w:t>. White Paper on Post-Education and Training: Building an Expanded, Ef</w:t>
      </w:r>
      <w:r w:rsidR="00322E27" w:rsidRPr="00AA4BA0">
        <w:t>fective and Integrated Post-Sch</w:t>
      </w:r>
      <w:r w:rsidRPr="00AA4BA0">
        <w:t>ool System</w:t>
      </w:r>
      <w:r w:rsidR="00322E27" w:rsidRPr="00AA4BA0">
        <w:t>.</w:t>
      </w:r>
      <w:r w:rsidRPr="00AA4BA0">
        <w:t xml:space="preserve"> Pretoria, RSA </w:t>
      </w:r>
    </w:p>
    <w:p w14:paraId="4DBA2AC4" w14:textId="77777777" w:rsidR="00563D02" w:rsidRPr="00AA4BA0" w:rsidRDefault="00563D02" w:rsidP="008C07CF">
      <w:r w:rsidRPr="00AA4BA0">
        <w:t xml:space="preserve">Department of Higher Education and Training, </w:t>
      </w:r>
      <w:r w:rsidR="00322E27" w:rsidRPr="00AA4BA0">
        <w:t>(</w:t>
      </w:r>
      <w:r w:rsidRPr="00AA4BA0">
        <w:t>2016</w:t>
      </w:r>
      <w:r w:rsidR="00322E27" w:rsidRPr="00AA4BA0">
        <w:t>)</w:t>
      </w:r>
      <w:r w:rsidRPr="00AA4BA0">
        <w:t xml:space="preserve">. Successes of the Department Since 2009: Report to Cabinet, Pretoria, RSA. </w:t>
      </w:r>
    </w:p>
    <w:p w14:paraId="7A078B4C" w14:textId="77777777" w:rsidR="00563D02" w:rsidRPr="00AA4BA0" w:rsidRDefault="00563D02" w:rsidP="008C07CF">
      <w:r w:rsidRPr="00AA4BA0">
        <w:t>Department of Higher Education and Training,</w:t>
      </w:r>
      <w:r w:rsidR="00751C59" w:rsidRPr="00AA4BA0">
        <w:t xml:space="preserve"> </w:t>
      </w:r>
      <w:r w:rsidRPr="00AA4BA0">
        <w:t>(2013)</w:t>
      </w:r>
      <w:r w:rsidR="00322E27" w:rsidRPr="00AA4BA0">
        <w:t>.</w:t>
      </w:r>
      <w:r w:rsidRPr="00AA4BA0">
        <w:t xml:space="preserve"> Ministerial Task Team on SETA Performance. Government Gazette no. 36747, Pretoria, RSA </w:t>
      </w:r>
    </w:p>
    <w:p w14:paraId="0E77EA9C" w14:textId="77777777" w:rsidR="00595B76" w:rsidRPr="00AA4BA0" w:rsidRDefault="00595B76" w:rsidP="008C07CF">
      <w:pPr>
        <w:rPr>
          <w:rStyle w:val="Hyperlink"/>
          <w:rFonts w:cstheme="minorHAnsi"/>
          <w:sz w:val="22"/>
        </w:rPr>
      </w:pPr>
      <w:r w:rsidRPr="00AA4BA0">
        <w:t xml:space="preserve">Department of Higher Education and Training (2013). Ministerial Task Team on National Strategy for the Recognition of Prior Learning Report </w:t>
      </w:r>
      <w:hyperlink r:id="rId16" w:history="1">
        <w:r w:rsidRPr="00AA4BA0">
          <w:rPr>
            <w:rStyle w:val="Hyperlink"/>
            <w:rFonts w:cstheme="minorHAnsi"/>
            <w:sz w:val="22"/>
          </w:rPr>
          <w:t>https://www.dhet.gov.za/ResearchNew/37.%20Recognition%20of%20prior%20learning.pdf</w:t>
        </w:r>
      </w:hyperlink>
      <w:r w:rsidRPr="00AA4BA0">
        <w:rPr>
          <w:rStyle w:val="Hyperlink"/>
          <w:rFonts w:cstheme="minorHAnsi"/>
          <w:sz w:val="22"/>
        </w:rPr>
        <w:t>. Accessed 27 April 2017</w:t>
      </w:r>
    </w:p>
    <w:p w14:paraId="297009DC" w14:textId="77777777" w:rsidR="00595B76" w:rsidRDefault="00595B76" w:rsidP="008C07CF">
      <w:r w:rsidRPr="00AA4BA0">
        <w:t xml:space="preserve">Department of Higher Education and Training (2006). Ministerial Task Team for the Review of the National Policy Regarding Further Education and Training (2006). Government Notice No. 28677 on 29 March 2006 </w:t>
      </w:r>
      <w:hyperlink r:id="rId17" w:history="1">
        <w:r w:rsidRPr="00AA4BA0">
          <w:rPr>
            <w:rStyle w:val="Hyperlink"/>
            <w:rFonts w:cstheme="minorHAnsi"/>
            <w:sz w:val="22"/>
          </w:rPr>
          <w:t>http://www.dhet.gov.za/Reports%20Doc%20Library/FINAL%20REPORT%20-%20REVIEW%20OF%20THE%20NCV%20BY%20THE%20MTT%20,31%20March%202013.pdf</w:t>
        </w:r>
      </w:hyperlink>
      <w:r w:rsidR="003D3091">
        <w:t>. Accessed, 25/04/</w:t>
      </w:r>
      <w:r w:rsidRPr="00AA4BA0">
        <w:t xml:space="preserve">2017 </w:t>
      </w:r>
    </w:p>
    <w:p w14:paraId="4A3716B0" w14:textId="77777777" w:rsidR="00D76EAF" w:rsidRPr="00AA4BA0" w:rsidRDefault="00D76EAF" w:rsidP="008C07CF">
      <w:r>
        <w:t xml:space="preserve">Department of Trade and Industry (2012). Integrated Strategy on the Development and Promotion of Cooperatives. Promoting an Integrated Strategy 2012-2022. </w:t>
      </w:r>
      <w:hyperlink r:id="rId18" w:history="1">
        <w:r w:rsidRPr="002F61E1">
          <w:rPr>
            <w:rStyle w:val="Hyperlink"/>
            <w:rFonts w:cstheme="minorHAnsi"/>
            <w:sz w:val="22"/>
          </w:rPr>
          <w:t>http://www.dti.gov.za/economic_empowerment/docs/coops/legis_policy/coop-strategy.pdf</w:t>
        </w:r>
      </w:hyperlink>
      <w:r>
        <w:t>. Accessed 26/05/2017</w:t>
      </w:r>
    </w:p>
    <w:p w14:paraId="3E6E28A4" w14:textId="77777777" w:rsidR="00595B76" w:rsidRPr="00AA4BA0" w:rsidRDefault="00595B76" w:rsidP="008C07CF">
      <w:r w:rsidRPr="00AA4BA0">
        <w:t>EE Publishers (</w:t>
      </w:r>
      <w:proofErr w:type="spellStart"/>
      <w:r w:rsidRPr="00AA4BA0">
        <w:t>n.d</w:t>
      </w:r>
      <w:proofErr w:type="spellEnd"/>
      <w:r w:rsidRPr="00AA4BA0">
        <w:t xml:space="preserve">). Status of NQF Level 4 Qualifications. </w:t>
      </w:r>
      <w:hyperlink r:id="rId19" w:history="1">
        <w:r w:rsidRPr="00AA4BA0">
          <w:rPr>
            <w:rStyle w:val="Hyperlink"/>
            <w:rFonts w:cstheme="minorHAnsi"/>
            <w:sz w:val="22"/>
          </w:rPr>
          <w:t>http://www.ee.co.za/article/status-of-nqf-level-4-qualifications.htm.</w:t>
        </w:r>
      </w:hyperlink>
      <w:r w:rsidRPr="00AA4BA0">
        <w:rPr>
          <w:rStyle w:val="Hyperlink"/>
          <w:rFonts w:cstheme="minorHAnsi"/>
          <w:sz w:val="22"/>
        </w:rPr>
        <w:t xml:space="preserve"> </w:t>
      </w:r>
      <w:r w:rsidR="003D3091">
        <w:t>Accessed on 23/04/</w:t>
      </w:r>
      <w:r w:rsidRPr="00AA4BA0">
        <w:t>2017</w:t>
      </w:r>
    </w:p>
    <w:p w14:paraId="2319F917" w14:textId="77777777" w:rsidR="00563D02" w:rsidRPr="00AA4BA0" w:rsidRDefault="00563D02" w:rsidP="008C07CF">
      <w:proofErr w:type="spellStart"/>
      <w:r w:rsidRPr="00AA4BA0">
        <w:t>Groener</w:t>
      </w:r>
      <w:proofErr w:type="spellEnd"/>
      <w:r w:rsidRPr="00AA4BA0">
        <w:t>, Z. (2014). Skills Development and Structural Change: Possibilities for and limitations of Redressing Structural Racial Inequalities in South Africa. International Review of Education</w:t>
      </w:r>
      <w:r w:rsidRPr="00AA4BA0">
        <w:rPr>
          <w:color w:val="000000"/>
        </w:rPr>
        <w:t xml:space="preserve"> </w:t>
      </w:r>
    </w:p>
    <w:p w14:paraId="3675B535" w14:textId="77777777" w:rsidR="00C937CD" w:rsidRDefault="00C937CD" w:rsidP="008C07CF">
      <w:r w:rsidRPr="00AA4BA0">
        <w:t xml:space="preserve">Hornsby, no date: Employment Services of South Africa, </w:t>
      </w:r>
      <w:r w:rsidR="006C4806" w:rsidRPr="00F47C02">
        <w:t>PowerPoint</w:t>
      </w:r>
      <w:r w:rsidRPr="00AA4BA0">
        <w:t xml:space="preserve"> Presentation </w:t>
      </w:r>
    </w:p>
    <w:p w14:paraId="5CB58187" w14:textId="77777777" w:rsidR="00C937CD" w:rsidRPr="00AA4BA0" w:rsidRDefault="00C937CD" w:rsidP="008C07CF">
      <w:r w:rsidRPr="00AA4BA0">
        <w:lastRenderedPageBreak/>
        <w:t xml:space="preserve">Joint Initiative on Priority Skills Acquisition, Growing </w:t>
      </w:r>
      <w:r w:rsidR="006C4806" w:rsidRPr="00F47C02">
        <w:t>Priority</w:t>
      </w:r>
      <w:r w:rsidRPr="00AA4BA0">
        <w:t xml:space="preserve"> skills in So</w:t>
      </w:r>
      <w:r w:rsidR="00F6286F">
        <w:t xml:space="preserve">uth Africa, JIPSA Final report. </w:t>
      </w:r>
      <w:r w:rsidRPr="00AA4BA0">
        <w:t xml:space="preserve">March 2010. The </w:t>
      </w:r>
      <w:r w:rsidR="006C4806" w:rsidRPr="00F47C02">
        <w:t>Presidency</w:t>
      </w:r>
      <w:r w:rsidRPr="00AA4BA0">
        <w:t xml:space="preserve">. </w:t>
      </w:r>
      <w:hyperlink w:history="1">
        <w:r w:rsidRPr="00AA4BA0">
          <w:rPr>
            <w:rStyle w:val="Hyperlink"/>
            <w:rFonts w:cstheme="minorHAnsi"/>
            <w:sz w:val="22"/>
          </w:rPr>
          <w:t>www.dpme.gove.za&gt;documents</w:t>
        </w:r>
      </w:hyperlink>
      <w:r w:rsidR="003D3091">
        <w:t>, Accessed: 05/05/2017.</w:t>
      </w:r>
    </w:p>
    <w:p w14:paraId="3A36F8A0" w14:textId="77777777" w:rsidR="00563D02" w:rsidRPr="00AA4BA0" w:rsidRDefault="00563D02" w:rsidP="008C07CF">
      <w:proofErr w:type="spellStart"/>
      <w:r w:rsidRPr="00AA4BA0">
        <w:t>Kraak</w:t>
      </w:r>
      <w:proofErr w:type="spellEnd"/>
      <w:r w:rsidRPr="00AA4BA0">
        <w:t>, A. (2005). Human Resources Development and the Skills Crisis in South Africa: The Need for a Multi-</w:t>
      </w:r>
      <w:proofErr w:type="gramStart"/>
      <w:r w:rsidRPr="00AA4BA0">
        <w:t>pronged</w:t>
      </w:r>
      <w:proofErr w:type="gramEnd"/>
      <w:r w:rsidRPr="00AA4BA0">
        <w:t xml:space="preserve"> Strategy. </w:t>
      </w:r>
      <w:r w:rsidRPr="00AA4BA0">
        <w:rPr>
          <w:i/>
          <w:iCs/>
        </w:rPr>
        <w:t xml:space="preserve">Journal of Education and Work, 18(3), </w:t>
      </w:r>
      <w:r w:rsidRPr="00AA4BA0">
        <w:t>57-83.</w:t>
      </w:r>
    </w:p>
    <w:p w14:paraId="69ECF122" w14:textId="77777777" w:rsidR="00563D02" w:rsidRPr="00AA4BA0" w:rsidRDefault="00563D02" w:rsidP="008C07CF">
      <w:pPr>
        <w:rPr>
          <w:bCs/>
        </w:rPr>
      </w:pPr>
      <w:proofErr w:type="spellStart"/>
      <w:proofErr w:type="gramStart"/>
      <w:r w:rsidRPr="00AA4BA0">
        <w:t>Kruss,G</w:t>
      </w:r>
      <w:proofErr w:type="spellEnd"/>
      <w:r w:rsidRPr="00AA4BA0">
        <w:t>.</w:t>
      </w:r>
      <w:proofErr w:type="gramEnd"/>
      <w:r w:rsidRPr="00AA4BA0">
        <w:t xml:space="preserve"> </w:t>
      </w:r>
      <w:proofErr w:type="spellStart"/>
      <w:r w:rsidRPr="00AA4BA0">
        <w:t>Wildschut</w:t>
      </w:r>
      <w:proofErr w:type="spellEnd"/>
      <w:r w:rsidRPr="00AA4BA0">
        <w:t xml:space="preserve">, A. van </w:t>
      </w:r>
      <w:proofErr w:type="spellStart"/>
      <w:r w:rsidRPr="00AA4BA0">
        <w:t>Rensburg</w:t>
      </w:r>
      <w:proofErr w:type="spellEnd"/>
      <w:r w:rsidRPr="00AA4BA0">
        <w:t xml:space="preserve">, D. </w:t>
      </w:r>
      <w:proofErr w:type="spellStart"/>
      <w:r w:rsidRPr="00AA4BA0">
        <w:t>Visser</w:t>
      </w:r>
      <w:proofErr w:type="spellEnd"/>
      <w:r w:rsidRPr="00AA4BA0">
        <w:t xml:space="preserve">, M. </w:t>
      </w:r>
      <w:proofErr w:type="spellStart"/>
      <w:r w:rsidRPr="00AA4BA0">
        <w:t>Haupt</w:t>
      </w:r>
      <w:proofErr w:type="spellEnd"/>
      <w:r w:rsidRPr="00AA4BA0">
        <w:t xml:space="preserve">, G. &amp; </w:t>
      </w:r>
      <w:proofErr w:type="spellStart"/>
      <w:r w:rsidRPr="00AA4BA0">
        <w:t>Roodt</w:t>
      </w:r>
      <w:proofErr w:type="spellEnd"/>
      <w:r w:rsidRPr="00AA4BA0">
        <w:t>, J. (2012)</w:t>
      </w:r>
      <w:r w:rsidR="00322E27" w:rsidRPr="00AA4BA0">
        <w:t xml:space="preserve">. </w:t>
      </w:r>
      <w:r w:rsidRPr="00AA4BA0">
        <w:t xml:space="preserve">Impact Assessment of National Skills Development Strategy II, </w:t>
      </w:r>
      <w:r w:rsidRPr="00AA4BA0">
        <w:rPr>
          <w:bCs/>
        </w:rPr>
        <w:t xml:space="preserve">Developing Skills and Capabilities through the </w:t>
      </w:r>
      <w:proofErr w:type="spellStart"/>
      <w:r w:rsidRPr="00AA4BA0">
        <w:rPr>
          <w:bCs/>
        </w:rPr>
        <w:t>Learnership</w:t>
      </w:r>
      <w:proofErr w:type="spellEnd"/>
      <w:r w:rsidRPr="00AA4BA0">
        <w:rPr>
          <w:bCs/>
        </w:rPr>
        <w:t xml:space="preserve"> and Apprenticeship Pathway Systems Synthesis Report. </w:t>
      </w:r>
    </w:p>
    <w:p w14:paraId="41EB8B7B" w14:textId="77777777" w:rsidR="00E62B83" w:rsidRDefault="00E62B83" w:rsidP="008C07CF">
      <w:r>
        <w:t xml:space="preserve">National Credit Regulator (2011). Literature Review on Small and Medium Enterprises’ Access </w:t>
      </w:r>
      <w:r w:rsidR="006C4806">
        <w:t>to Credit</w:t>
      </w:r>
      <w:r>
        <w:t xml:space="preserve"> and Support in South </w:t>
      </w:r>
      <w:r w:rsidR="006C4806">
        <w:t>Africa</w:t>
      </w:r>
      <w:r>
        <w:t xml:space="preserve">. </w:t>
      </w:r>
      <w:hyperlink r:id="rId20" w:history="1">
        <w:r w:rsidRPr="00441BAD">
          <w:rPr>
            <w:rStyle w:val="Hyperlink"/>
            <w:rFonts w:cstheme="minorHAnsi"/>
            <w:sz w:val="22"/>
          </w:rPr>
          <w:t>http://www.ncr.org.za/pdfs/Literature%20Review%20on%20SME%20Access%20to%20Credit%20in%20South%20Africa_Final%20Report_NCR_Dec%202011.pdf</w:t>
        </w:r>
      </w:hyperlink>
      <w:r>
        <w:t>. Accessed 23/05/2017</w:t>
      </w:r>
    </w:p>
    <w:p w14:paraId="0452B744" w14:textId="77777777" w:rsidR="00E77DAE" w:rsidRPr="00AA4BA0" w:rsidRDefault="00595B76" w:rsidP="008C07CF">
      <w:r w:rsidRPr="00AA4BA0">
        <w:t>Papier, J. (2008) Report on the Training of FET College Lecturers in South Africa</w:t>
      </w:r>
      <w:r w:rsidR="00C937CD" w:rsidRPr="00AA4BA0">
        <w:t xml:space="preserve">, England and Other International </w:t>
      </w:r>
      <w:r w:rsidR="006C4806" w:rsidRPr="00F47C02">
        <w:t>Context, FETI</w:t>
      </w:r>
      <w:r w:rsidR="00E77DAE" w:rsidRPr="00AA4BA0">
        <w:t xml:space="preserve"> Institute, UWC. </w:t>
      </w:r>
      <w:hyperlink r:id="rId21" w:history="1">
        <w:r w:rsidR="00E77DAE" w:rsidRPr="00AA4BA0">
          <w:rPr>
            <w:rStyle w:val="Hyperlink"/>
            <w:rFonts w:cstheme="minorHAnsi"/>
            <w:sz w:val="22"/>
          </w:rPr>
          <w:t>http://www.feti.ac.za/publications/R2%20%20Final_Report_on_Training_of_College_Lecturers.pdf</w:t>
        </w:r>
      </w:hyperlink>
      <w:r w:rsidR="00E77DAE" w:rsidRPr="00AA4BA0">
        <w:t>.</w:t>
      </w:r>
      <w:r w:rsidR="003D3091">
        <w:t xml:space="preserve"> Accessed 06/05/2017.</w:t>
      </w:r>
    </w:p>
    <w:p w14:paraId="744D6D6A" w14:textId="77777777" w:rsidR="00BE7CDE" w:rsidRDefault="00BE7CDE" w:rsidP="008C07CF">
      <w:r w:rsidRPr="00AA4BA0">
        <w:t xml:space="preserve">Parliamentary Monitoring Group, 2011.  National Skills Fund and National Skills Authority 2010/11 Annual Reports, </w:t>
      </w:r>
      <w:hyperlink r:id="rId22" w:history="1">
        <w:r w:rsidR="00B1267A" w:rsidRPr="00AA4BA0">
          <w:rPr>
            <w:rStyle w:val="Hyperlink"/>
            <w:rFonts w:cstheme="minorHAnsi"/>
            <w:sz w:val="22"/>
          </w:rPr>
          <w:t>www.pmg.org.za</w:t>
        </w:r>
      </w:hyperlink>
      <w:r w:rsidR="00B1267A" w:rsidRPr="00AA4BA0">
        <w:t xml:space="preserve">: </w:t>
      </w:r>
      <w:r w:rsidR="00C92851" w:rsidRPr="00AA4BA0">
        <w:t>A</w:t>
      </w:r>
      <w:r w:rsidRPr="00AA4BA0">
        <w:t>ccessed</w:t>
      </w:r>
      <w:r w:rsidR="00B1267A" w:rsidRPr="00AA4BA0">
        <w:t>, 2017/05/07</w:t>
      </w:r>
    </w:p>
    <w:p w14:paraId="596B60CF" w14:textId="77777777" w:rsidR="00202423" w:rsidRDefault="00AE1710" w:rsidP="008C07CF">
      <w:pPr>
        <w:rPr>
          <w:rFonts w:cstheme="minorHAnsi"/>
          <w:sz w:val="22"/>
        </w:rPr>
      </w:pPr>
      <w:r>
        <w:rPr>
          <w:rFonts w:cstheme="minorHAnsi"/>
          <w:sz w:val="22"/>
        </w:rPr>
        <w:t>SACCI,</w:t>
      </w:r>
      <w:r w:rsidR="00202423">
        <w:rPr>
          <w:rFonts w:cstheme="minorHAnsi"/>
          <w:sz w:val="22"/>
        </w:rPr>
        <w:t xml:space="preserve"> </w:t>
      </w:r>
      <w:r>
        <w:rPr>
          <w:rFonts w:cstheme="minorHAnsi"/>
          <w:sz w:val="22"/>
        </w:rPr>
        <w:t>(</w:t>
      </w:r>
      <w:r w:rsidR="00202423">
        <w:rPr>
          <w:rFonts w:cstheme="minorHAnsi"/>
          <w:sz w:val="22"/>
        </w:rPr>
        <w:t>2012</w:t>
      </w:r>
      <w:r>
        <w:rPr>
          <w:rFonts w:cstheme="minorHAnsi"/>
          <w:sz w:val="22"/>
        </w:rPr>
        <w:t>)</w:t>
      </w:r>
      <w:r w:rsidR="00202423">
        <w:rPr>
          <w:rFonts w:cstheme="minorHAnsi"/>
          <w:sz w:val="22"/>
        </w:rPr>
        <w:t xml:space="preserve">. Review of FET College Partnership and Linkages. </w:t>
      </w:r>
      <w:hyperlink r:id="rId23" w:history="1">
        <w:r w:rsidR="00202423" w:rsidRPr="004F4F7F">
          <w:rPr>
            <w:rStyle w:val="Hyperlink"/>
            <w:rFonts w:cstheme="minorHAnsi"/>
            <w:sz w:val="22"/>
          </w:rPr>
          <w:t>http://www.ssaci.org.za/images/stories/pdf/resources/Review%20of%20College-Industry%20Partnerships,%20July%202011.pdf</w:t>
        </w:r>
      </w:hyperlink>
      <w:r w:rsidR="00202423">
        <w:rPr>
          <w:rFonts w:cstheme="minorHAnsi"/>
          <w:sz w:val="22"/>
        </w:rPr>
        <w:t>. Accessed 25/05/2017</w:t>
      </w:r>
    </w:p>
    <w:p w14:paraId="076DD539" w14:textId="77777777" w:rsidR="00936603" w:rsidRDefault="00AE1710" w:rsidP="008C07CF">
      <w:r>
        <w:t>Stats SA</w:t>
      </w:r>
      <w:r w:rsidR="00936603">
        <w:t xml:space="preserve"> </w:t>
      </w:r>
      <w:r>
        <w:t>(</w:t>
      </w:r>
      <w:r w:rsidR="00936603">
        <w:t>2013</w:t>
      </w:r>
      <w:r>
        <w:t>)</w:t>
      </w:r>
      <w:r w:rsidR="00936603">
        <w:t xml:space="preserve">. </w:t>
      </w:r>
      <w:r w:rsidR="00936603" w:rsidRPr="00936603">
        <w:t>http://www.statssa.gov.za/publications/P0211/P02113rdQuarter2013.pdf</w:t>
      </w:r>
    </w:p>
    <w:p w14:paraId="1B998E07" w14:textId="77777777" w:rsidR="00BD0FC5" w:rsidRDefault="00BD0FC5" w:rsidP="008C07CF">
      <w:r>
        <w:t xml:space="preserve">The Presidency. (2010) Growing priority skills in South </w:t>
      </w:r>
      <w:r w:rsidR="006C4806">
        <w:t>Africa</w:t>
      </w:r>
      <w:r>
        <w:t xml:space="preserve">. Final Report on JIPSA.  </w:t>
      </w:r>
      <w:hyperlink r:id="rId24" w:history="1">
        <w:r w:rsidRPr="00441BAD">
          <w:rPr>
            <w:rStyle w:val="Hyperlink"/>
            <w:rFonts w:cstheme="minorHAnsi"/>
            <w:sz w:val="22"/>
          </w:rPr>
          <w:t>http://www.hrdcsa.org.za/sites/default/files/documents/Consolidated%20JIPSA%20close%20out%20report.pdf</w:t>
        </w:r>
      </w:hyperlink>
      <w:r>
        <w:t>. Accessed 18/05/2017</w:t>
      </w:r>
    </w:p>
    <w:p w14:paraId="6CEA5D5C" w14:textId="77777777" w:rsidR="00E76246" w:rsidRDefault="00F557CC" w:rsidP="008C07CF">
      <w:proofErr w:type="spellStart"/>
      <w:r>
        <w:t>Wedekind</w:t>
      </w:r>
      <w:proofErr w:type="spellEnd"/>
      <w:r w:rsidR="00745F33">
        <w:t>, V. Watson, A. and Buthelezi, Z</w:t>
      </w:r>
      <w:r>
        <w:t xml:space="preserve">. (2016) </w:t>
      </w:r>
      <w:r w:rsidR="00E76246">
        <w:t xml:space="preserve">SAQA Bulletin Volume 15 No. 1 (2016; p117 141). </w:t>
      </w:r>
      <w:hyperlink r:id="rId25" w:history="1">
        <w:r w:rsidR="00E76246" w:rsidRPr="004F4F7F">
          <w:rPr>
            <w:rStyle w:val="Hyperlink"/>
            <w:rFonts w:cstheme="minorHAnsi"/>
            <w:sz w:val="22"/>
          </w:rPr>
          <w:t>http://www.saqa.org.za/docs/bullet/2016/SAQA%20Bulletin%2015%20(1).</w:t>
        </w:r>
        <w:proofErr w:type="spellStart"/>
        <w:r w:rsidR="00E76246" w:rsidRPr="004F4F7F">
          <w:rPr>
            <w:rStyle w:val="Hyperlink"/>
            <w:rFonts w:cstheme="minorHAnsi"/>
            <w:sz w:val="22"/>
          </w:rPr>
          <w:t>pdf</w:t>
        </w:r>
      </w:hyperlink>
      <w:r w:rsidR="00E76246">
        <w:t>Accessed</w:t>
      </w:r>
      <w:proofErr w:type="spellEnd"/>
      <w:r w:rsidR="00E76246">
        <w:t>: 25/05/2017</w:t>
      </w:r>
    </w:p>
    <w:p w14:paraId="760C82D0" w14:textId="77777777" w:rsidR="009A3B56" w:rsidRDefault="009A3B56" w:rsidP="008C07CF">
      <w:proofErr w:type="spellStart"/>
      <w:r>
        <w:t>Wijnberg</w:t>
      </w:r>
      <w:proofErr w:type="spellEnd"/>
      <w:r>
        <w:t>,</w:t>
      </w:r>
      <w:r w:rsidR="0010521A">
        <w:t xml:space="preserve"> C.</w:t>
      </w:r>
      <w:r>
        <w:t xml:space="preserve"> </w:t>
      </w:r>
      <w:r w:rsidR="00745F33">
        <w:t>(</w:t>
      </w:r>
      <w:r>
        <w:t>2013</w:t>
      </w:r>
      <w:r w:rsidR="00745F33">
        <w:t>)</w:t>
      </w:r>
      <w:r>
        <w:t xml:space="preserve"> Small Business Finds </w:t>
      </w:r>
      <w:proofErr w:type="spellStart"/>
      <w:r>
        <w:t>Setas</w:t>
      </w:r>
      <w:proofErr w:type="spellEnd"/>
      <w:r>
        <w:t xml:space="preserve"> Wanting. MG. Online publication. </w:t>
      </w:r>
      <w:hyperlink r:id="rId26" w:history="1">
        <w:r w:rsidR="0010521A" w:rsidRPr="00441BAD">
          <w:rPr>
            <w:rStyle w:val="Hyperlink"/>
            <w:rFonts w:cstheme="minorHAnsi"/>
            <w:sz w:val="22"/>
          </w:rPr>
          <w:t>https://mg.co.za/article/2013-05-10-small-business-finds-setas-wanting</w:t>
        </w:r>
      </w:hyperlink>
      <w:r w:rsidR="0010521A">
        <w:t xml:space="preserve">. </w:t>
      </w:r>
      <w:r>
        <w:t xml:space="preserve">Accesses </w:t>
      </w:r>
      <w:r w:rsidR="0010521A">
        <w:t>27</w:t>
      </w:r>
      <w:r>
        <w:t>/05/2017</w:t>
      </w:r>
    </w:p>
    <w:p w14:paraId="59035115" w14:textId="77777777" w:rsidR="002E55FF" w:rsidRDefault="002E55FF" w:rsidP="008C07CF"/>
    <w:sectPr w:rsidR="002E55FF" w:rsidSect="00A03B8F">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EB558" w14:textId="77777777" w:rsidR="00A06BB5" w:rsidRDefault="00A06BB5" w:rsidP="008C07CF">
      <w:r>
        <w:separator/>
      </w:r>
    </w:p>
  </w:endnote>
  <w:endnote w:type="continuationSeparator" w:id="0">
    <w:p w14:paraId="0DCCCE15" w14:textId="77777777" w:rsidR="00A06BB5" w:rsidRDefault="00A06BB5" w:rsidP="008C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580513"/>
      <w:docPartObj>
        <w:docPartGallery w:val="Page Numbers (Bottom of Page)"/>
        <w:docPartUnique/>
      </w:docPartObj>
    </w:sdtPr>
    <w:sdtEndPr>
      <w:rPr>
        <w:color w:val="808080" w:themeColor="background1" w:themeShade="80"/>
        <w:spacing w:val="60"/>
      </w:rPr>
    </w:sdtEndPr>
    <w:sdtContent>
      <w:p w14:paraId="14790F92" w14:textId="77777777" w:rsidR="00E93DB8" w:rsidRDefault="00E93DB8" w:rsidP="008C07CF">
        <w:pPr>
          <w:pStyle w:val="Footer"/>
          <w:rPr>
            <w:b/>
            <w:bCs/>
          </w:rPr>
        </w:pPr>
        <w:r>
          <w:fldChar w:fldCharType="begin"/>
        </w:r>
        <w:r>
          <w:instrText xml:space="preserve"> PAGE   \* MERGEFORMAT </w:instrText>
        </w:r>
        <w:r>
          <w:fldChar w:fldCharType="separate"/>
        </w:r>
        <w:r w:rsidR="00061B9F" w:rsidRPr="00061B9F">
          <w:rPr>
            <w:b/>
            <w:bCs/>
            <w:noProof/>
          </w:rPr>
          <w:t>58</w:t>
        </w:r>
        <w:r>
          <w:rPr>
            <w:b/>
            <w:bCs/>
            <w:noProof/>
          </w:rPr>
          <w:fldChar w:fldCharType="end"/>
        </w:r>
        <w:r>
          <w:rPr>
            <w:b/>
            <w:bCs/>
          </w:rPr>
          <w:t xml:space="preserve"> | </w:t>
        </w:r>
        <w:r>
          <w:rPr>
            <w:color w:val="808080" w:themeColor="background1" w:themeShade="80"/>
            <w:spacing w:val="60"/>
          </w:rPr>
          <w:t>Page</w:t>
        </w:r>
      </w:p>
    </w:sdtContent>
  </w:sdt>
  <w:p w14:paraId="0357118F" w14:textId="77777777" w:rsidR="00E93DB8" w:rsidRDefault="00E93DB8" w:rsidP="008C07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17D69" w14:textId="77777777" w:rsidR="00A06BB5" w:rsidRDefault="00A06BB5" w:rsidP="008C07CF">
      <w:r>
        <w:separator/>
      </w:r>
    </w:p>
  </w:footnote>
  <w:footnote w:type="continuationSeparator" w:id="0">
    <w:p w14:paraId="3FFBC790" w14:textId="77777777" w:rsidR="00A06BB5" w:rsidRDefault="00A06BB5" w:rsidP="008C07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838"/>
    <w:multiLevelType w:val="hybridMultilevel"/>
    <w:tmpl w:val="15B8786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5C91D5C"/>
    <w:multiLevelType w:val="hybridMultilevel"/>
    <w:tmpl w:val="AFF0110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5E43D2C"/>
    <w:multiLevelType w:val="multilevel"/>
    <w:tmpl w:val="EF72B04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651B40"/>
    <w:multiLevelType w:val="hybridMultilevel"/>
    <w:tmpl w:val="67825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6009B8"/>
    <w:multiLevelType w:val="hybridMultilevel"/>
    <w:tmpl w:val="B298144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0DBE7327"/>
    <w:multiLevelType w:val="hybridMultilevel"/>
    <w:tmpl w:val="9A0E9D8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112E3350"/>
    <w:multiLevelType w:val="multilevel"/>
    <w:tmpl w:val="D37E36C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187329B0"/>
    <w:multiLevelType w:val="hybridMultilevel"/>
    <w:tmpl w:val="2098E9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2A84626"/>
    <w:multiLevelType w:val="hybridMultilevel"/>
    <w:tmpl w:val="77E2BB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A703709"/>
    <w:multiLevelType w:val="hybridMultilevel"/>
    <w:tmpl w:val="1B9ED6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B145D39"/>
    <w:multiLevelType w:val="hybridMultilevel"/>
    <w:tmpl w:val="993863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313924A5"/>
    <w:multiLevelType w:val="hybridMultilevel"/>
    <w:tmpl w:val="CE0C3F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19F4E40"/>
    <w:multiLevelType w:val="hybridMultilevel"/>
    <w:tmpl w:val="2FB4887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335D2588"/>
    <w:multiLevelType w:val="hybridMultilevel"/>
    <w:tmpl w:val="81C27D7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4">
    <w:nsid w:val="36064428"/>
    <w:multiLevelType w:val="multilevel"/>
    <w:tmpl w:val="4E5A2F4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nsid w:val="36AC2E28"/>
    <w:multiLevelType w:val="hybridMultilevel"/>
    <w:tmpl w:val="7360C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50169"/>
    <w:multiLevelType w:val="hybridMultilevel"/>
    <w:tmpl w:val="9F82AA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7D931E3"/>
    <w:multiLevelType w:val="hybridMultilevel"/>
    <w:tmpl w:val="18D4030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nsid w:val="40D207D5"/>
    <w:multiLevelType w:val="hybridMultilevel"/>
    <w:tmpl w:val="2B9E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BE17C4"/>
    <w:multiLevelType w:val="hybridMultilevel"/>
    <w:tmpl w:val="7CE629F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47EC59CB"/>
    <w:multiLevelType w:val="hybridMultilevel"/>
    <w:tmpl w:val="27F8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0F7A82"/>
    <w:multiLevelType w:val="multilevel"/>
    <w:tmpl w:val="4E5A2F4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nsid w:val="4F844874"/>
    <w:multiLevelType w:val="hybridMultilevel"/>
    <w:tmpl w:val="E2FEB1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515035FB"/>
    <w:multiLevelType w:val="hybridMultilevel"/>
    <w:tmpl w:val="2FC857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D30B3"/>
    <w:multiLevelType w:val="hybridMultilevel"/>
    <w:tmpl w:val="046E580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5A287AD4"/>
    <w:multiLevelType w:val="hybridMultilevel"/>
    <w:tmpl w:val="B4325D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DD041D5"/>
    <w:multiLevelType w:val="hybridMultilevel"/>
    <w:tmpl w:val="86CEF34C"/>
    <w:lvl w:ilvl="0" w:tplc="47420362">
      <w:start w:val="1"/>
      <w:numFmt w:val="bullet"/>
      <w:pStyle w:val="ListParagraph1"/>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EC73AD9"/>
    <w:multiLevelType w:val="hybridMultilevel"/>
    <w:tmpl w:val="C2FC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5F0B4C"/>
    <w:multiLevelType w:val="hybridMultilevel"/>
    <w:tmpl w:val="936C020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61F82B31"/>
    <w:multiLevelType w:val="hybridMultilevel"/>
    <w:tmpl w:val="684450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nsid w:val="684852EB"/>
    <w:multiLevelType w:val="hybridMultilevel"/>
    <w:tmpl w:val="80222E6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nsid w:val="6B6B2A51"/>
    <w:multiLevelType w:val="multilevel"/>
    <w:tmpl w:val="5E88E18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D080E48"/>
    <w:multiLevelType w:val="hybridMultilevel"/>
    <w:tmpl w:val="06C87B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D941967"/>
    <w:multiLevelType w:val="hybridMultilevel"/>
    <w:tmpl w:val="437AF12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nsid w:val="6EFA3DBC"/>
    <w:multiLevelType w:val="hybridMultilevel"/>
    <w:tmpl w:val="0AACDB80"/>
    <w:lvl w:ilvl="0" w:tplc="1C090001">
      <w:start w:val="1"/>
      <w:numFmt w:val="bullet"/>
      <w:lvlText w:val=""/>
      <w:lvlJc w:val="left"/>
      <w:pPr>
        <w:ind w:left="1287" w:hanging="360"/>
      </w:pPr>
      <w:rPr>
        <w:rFonts w:ascii="Symbol" w:hAnsi="Symbol" w:hint="default"/>
      </w:rPr>
    </w:lvl>
    <w:lvl w:ilvl="1" w:tplc="1C090003">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5">
    <w:nsid w:val="70E5428F"/>
    <w:multiLevelType w:val="multilevel"/>
    <w:tmpl w:val="78EC8AF2"/>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36">
    <w:nsid w:val="79092151"/>
    <w:multiLevelType w:val="hybridMultilevel"/>
    <w:tmpl w:val="830249CC"/>
    <w:lvl w:ilvl="0" w:tplc="1C090001">
      <w:start w:val="1"/>
      <w:numFmt w:val="bullet"/>
      <w:lvlText w:val=""/>
      <w:lvlJc w:val="left"/>
      <w:pPr>
        <w:ind w:left="1350" w:hanging="360"/>
      </w:pPr>
      <w:rPr>
        <w:rFonts w:ascii="Symbol" w:hAnsi="Symbol" w:hint="default"/>
      </w:rPr>
    </w:lvl>
    <w:lvl w:ilvl="1" w:tplc="1C090003" w:tentative="1">
      <w:start w:val="1"/>
      <w:numFmt w:val="bullet"/>
      <w:lvlText w:val="o"/>
      <w:lvlJc w:val="left"/>
      <w:pPr>
        <w:ind w:left="2070" w:hanging="360"/>
      </w:pPr>
      <w:rPr>
        <w:rFonts w:ascii="Courier New" w:hAnsi="Courier New" w:cs="Courier New" w:hint="default"/>
      </w:rPr>
    </w:lvl>
    <w:lvl w:ilvl="2" w:tplc="1C090005" w:tentative="1">
      <w:start w:val="1"/>
      <w:numFmt w:val="bullet"/>
      <w:lvlText w:val=""/>
      <w:lvlJc w:val="left"/>
      <w:pPr>
        <w:ind w:left="2790" w:hanging="360"/>
      </w:pPr>
      <w:rPr>
        <w:rFonts w:ascii="Wingdings" w:hAnsi="Wingdings" w:hint="default"/>
      </w:rPr>
    </w:lvl>
    <w:lvl w:ilvl="3" w:tplc="1C090001" w:tentative="1">
      <w:start w:val="1"/>
      <w:numFmt w:val="bullet"/>
      <w:lvlText w:val=""/>
      <w:lvlJc w:val="left"/>
      <w:pPr>
        <w:ind w:left="3510" w:hanging="360"/>
      </w:pPr>
      <w:rPr>
        <w:rFonts w:ascii="Symbol" w:hAnsi="Symbol" w:hint="default"/>
      </w:rPr>
    </w:lvl>
    <w:lvl w:ilvl="4" w:tplc="1C090003" w:tentative="1">
      <w:start w:val="1"/>
      <w:numFmt w:val="bullet"/>
      <w:lvlText w:val="o"/>
      <w:lvlJc w:val="left"/>
      <w:pPr>
        <w:ind w:left="4230" w:hanging="360"/>
      </w:pPr>
      <w:rPr>
        <w:rFonts w:ascii="Courier New" w:hAnsi="Courier New" w:cs="Courier New" w:hint="default"/>
      </w:rPr>
    </w:lvl>
    <w:lvl w:ilvl="5" w:tplc="1C090005" w:tentative="1">
      <w:start w:val="1"/>
      <w:numFmt w:val="bullet"/>
      <w:lvlText w:val=""/>
      <w:lvlJc w:val="left"/>
      <w:pPr>
        <w:ind w:left="4950" w:hanging="360"/>
      </w:pPr>
      <w:rPr>
        <w:rFonts w:ascii="Wingdings" w:hAnsi="Wingdings" w:hint="default"/>
      </w:rPr>
    </w:lvl>
    <w:lvl w:ilvl="6" w:tplc="1C090001" w:tentative="1">
      <w:start w:val="1"/>
      <w:numFmt w:val="bullet"/>
      <w:lvlText w:val=""/>
      <w:lvlJc w:val="left"/>
      <w:pPr>
        <w:ind w:left="5670" w:hanging="360"/>
      </w:pPr>
      <w:rPr>
        <w:rFonts w:ascii="Symbol" w:hAnsi="Symbol" w:hint="default"/>
      </w:rPr>
    </w:lvl>
    <w:lvl w:ilvl="7" w:tplc="1C090003" w:tentative="1">
      <w:start w:val="1"/>
      <w:numFmt w:val="bullet"/>
      <w:lvlText w:val="o"/>
      <w:lvlJc w:val="left"/>
      <w:pPr>
        <w:ind w:left="6390" w:hanging="360"/>
      </w:pPr>
      <w:rPr>
        <w:rFonts w:ascii="Courier New" w:hAnsi="Courier New" w:cs="Courier New" w:hint="default"/>
      </w:rPr>
    </w:lvl>
    <w:lvl w:ilvl="8" w:tplc="1C090005" w:tentative="1">
      <w:start w:val="1"/>
      <w:numFmt w:val="bullet"/>
      <w:lvlText w:val=""/>
      <w:lvlJc w:val="left"/>
      <w:pPr>
        <w:ind w:left="7110" w:hanging="360"/>
      </w:pPr>
      <w:rPr>
        <w:rFonts w:ascii="Wingdings" w:hAnsi="Wingdings" w:hint="default"/>
      </w:rPr>
    </w:lvl>
  </w:abstractNum>
  <w:abstractNum w:abstractNumId="37">
    <w:nsid w:val="79144DDD"/>
    <w:multiLevelType w:val="multilevel"/>
    <w:tmpl w:val="3EC21326"/>
    <w:lvl w:ilvl="0">
      <w:start w:val="8"/>
      <w:numFmt w:val="decimal"/>
      <w:lvlText w:val="%1."/>
      <w:lvlJc w:val="left"/>
      <w:pPr>
        <w:ind w:left="936" w:hanging="360"/>
      </w:pPr>
      <w:rPr>
        <w:rFonts w:hint="default"/>
      </w:rPr>
    </w:lvl>
    <w:lvl w:ilvl="1">
      <w:start w:val="1"/>
      <w:numFmt w:val="decimal"/>
      <w:isLgl/>
      <w:lvlText w:val="%1.%2."/>
      <w:lvlJc w:val="left"/>
      <w:pPr>
        <w:ind w:left="936" w:hanging="36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38">
    <w:nsid w:val="7D6C5E87"/>
    <w:multiLevelType w:val="hybridMultilevel"/>
    <w:tmpl w:val="26144A44"/>
    <w:lvl w:ilvl="0" w:tplc="960E20CE">
      <w:start w:val="1"/>
      <w:numFmt w:val="decimal"/>
      <w:lvlText w:val="%1."/>
      <w:lvlJc w:val="left"/>
      <w:pPr>
        <w:ind w:left="792" w:hanging="360"/>
      </w:pPr>
      <w:rPr>
        <w:rFonts w:hint="default"/>
        <w:b/>
      </w:rPr>
    </w:lvl>
    <w:lvl w:ilvl="1" w:tplc="A04272B2">
      <w:start w:val="1"/>
      <w:numFmt w:val="lowerLetter"/>
      <w:lvlText w:val="%2)"/>
      <w:lvlJc w:val="left"/>
      <w:pPr>
        <w:ind w:left="1512" w:hanging="360"/>
      </w:pPr>
      <w:rPr>
        <w:rFonts w:hint="default"/>
      </w:r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num w:numId="1">
    <w:abstractNumId w:val="3"/>
  </w:num>
  <w:num w:numId="2">
    <w:abstractNumId w:val="26"/>
  </w:num>
  <w:num w:numId="3">
    <w:abstractNumId w:val="15"/>
  </w:num>
  <w:num w:numId="4">
    <w:abstractNumId w:val="31"/>
  </w:num>
  <w:num w:numId="5">
    <w:abstractNumId w:val="23"/>
  </w:num>
  <w:num w:numId="6">
    <w:abstractNumId w:val="29"/>
  </w:num>
  <w:num w:numId="7">
    <w:abstractNumId w:val="4"/>
  </w:num>
  <w:num w:numId="8">
    <w:abstractNumId w:val="10"/>
  </w:num>
  <w:num w:numId="9">
    <w:abstractNumId w:val="1"/>
  </w:num>
  <w:num w:numId="10">
    <w:abstractNumId w:val="24"/>
  </w:num>
  <w:num w:numId="11">
    <w:abstractNumId w:val="0"/>
  </w:num>
  <w:num w:numId="12">
    <w:abstractNumId w:val="28"/>
  </w:num>
  <w:num w:numId="13">
    <w:abstractNumId w:val="11"/>
  </w:num>
  <w:num w:numId="14">
    <w:abstractNumId w:val="12"/>
  </w:num>
  <w:num w:numId="15">
    <w:abstractNumId w:val="36"/>
  </w:num>
  <w:num w:numId="16">
    <w:abstractNumId w:val="17"/>
  </w:num>
  <w:num w:numId="17">
    <w:abstractNumId w:val="9"/>
  </w:num>
  <w:num w:numId="18">
    <w:abstractNumId w:val="22"/>
  </w:num>
  <w:num w:numId="19">
    <w:abstractNumId w:val="19"/>
  </w:num>
  <w:num w:numId="20">
    <w:abstractNumId w:val="30"/>
  </w:num>
  <w:num w:numId="21">
    <w:abstractNumId w:val="33"/>
  </w:num>
  <w:num w:numId="22">
    <w:abstractNumId w:val="5"/>
  </w:num>
  <w:num w:numId="23">
    <w:abstractNumId w:val="13"/>
  </w:num>
  <w:num w:numId="24">
    <w:abstractNumId w:val="6"/>
  </w:num>
  <w:num w:numId="25">
    <w:abstractNumId w:val="27"/>
  </w:num>
  <w:num w:numId="26">
    <w:abstractNumId w:val="20"/>
  </w:num>
  <w:num w:numId="27">
    <w:abstractNumId w:val="25"/>
  </w:num>
  <w:num w:numId="28">
    <w:abstractNumId w:val="32"/>
  </w:num>
  <w:num w:numId="29">
    <w:abstractNumId w:val="2"/>
  </w:num>
  <w:num w:numId="30">
    <w:abstractNumId w:val="8"/>
  </w:num>
  <w:num w:numId="31">
    <w:abstractNumId w:val="38"/>
  </w:num>
  <w:num w:numId="32">
    <w:abstractNumId w:val="37"/>
  </w:num>
  <w:num w:numId="33">
    <w:abstractNumId w:val="16"/>
  </w:num>
  <w:num w:numId="34">
    <w:abstractNumId w:val="35"/>
  </w:num>
  <w:num w:numId="35">
    <w:abstractNumId w:val="7"/>
  </w:num>
  <w:num w:numId="36">
    <w:abstractNumId w:val="21"/>
  </w:num>
  <w:num w:numId="37">
    <w:abstractNumId w:val="34"/>
  </w:num>
  <w:num w:numId="38">
    <w:abstractNumId w:val="14"/>
  </w:num>
  <w:num w:numId="39">
    <w:abstractNumId w:val="6"/>
  </w:num>
  <w:num w:numId="40">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CE"/>
    <w:rsid w:val="00000423"/>
    <w:rsid w:val="000024FA"/>
    <w:rsid w:val="000028A0"/>
    <w:rsid w:val="00002F46"/>
    <w:rsid w:val="0000485A"/>
    <w:rsid w:val="00006B50"/>
    <w:rsid w:val="00010757"/>
    <w:rsid w:val="00010D95"/>
    <w:rsid w:val="00012E9C"/>
    <w:rsid w:val="00013586"/>
    <w:rsid w:val="00014C5C"/>
    <w:rsid w:val="00017DAF"/>
    <w:rsid w:val="00017F2E"/>
    <w:rsid w:val="00020378"/>
    <w:rsid w:val="000224F5"/>
    <w:rsid w:val="00022A8F"/>
    <w:rsid w:val="00022EBA"/>
    <w:rsid w:val="00023BCF"/>
    <w:rsid w:val="00024755"/>
    <w:rsid w:val="00024E09"/>
    <w:rsid w:val="0002612B"/>
    <w:rsid w:val="00027090"/>
    <w:rsid w:val="000324BA"/>
    <w:rsid w:val="00032A05"/>
    <w:rsid w:val="00032FBA"/>
    <w:rsid w:val="00034882"/>
    <w:rsid w:val="000355D7"/>
    <w:rsid w:val="000362D5"/>
    <w:rsid w:val="00036B2B"/>
    <w:rsid w:val="000406F4"/>
    <w:rsid w:val="00040D6F"/>
    <w:rsid w:val="00040FD4"/>
    <w:rsid w:val="00041E37"/>
    <w:rsid w:val="0004233B"/>
    <w:rsid w:val="000447BE"/>
    <w:rsid w:val="00046F0B"/>
    <w:rsid w:val="00047EDB"/>
    <w:rsid w:val="000509E1"/>
    <w:rsid w:val="00050D59"/>
    <w:rsid w:val="00053384"/>
    <w:rsid w:val="000537CC"/>
    <w:rsid w:val="00053F24"/>
    <w:rsid w:val="00054604"/>
    <w:rsid w:val="0005517A"/>
    <w:rsid w:val="0005613A"/>
    <w:rsid w:val="00056EC4"/>
    <w:rsid w:val="00060149"/>
    <w:rsid w:val="00060B06"/>
    <w:rsid w:val="00060D72"/>
    <w:rsid w:val="000610AF"/>
    <w:rsid w:val="00061B9F"/>
    <w:rsid w:val="000626F6"/>
    <w:rsid w:val="0006292A"/>
    <w:rsid w:val="0006531B"/>
    <w:rsid w:val="00067CD3"/>
    <w:rsid w:val="000703D1"/>
    <w:rsid w:val="000715E0"/>
    <w:rsid w:val="00072BB0"/>
    <w:rsid w:val="00073CD4"/>
    <w:rsid w:val="00074D5D"/>
    <w:rsid w:val="00075551"/>
    <w:rsid w:val="00076022"/>
    <w:rsid w:val="00077394"/>
    <w:rsid w:val="00077E63"/>
    <w:rsid w:val="00080A4D"/>
    <w:rsid w:val="00080E33"/>
    <w:rsid w:val="00082F69"/>
    <w:rsid w:val="000836FA"/>
    <w:rsid w:val="00085217"/>
    <w:rsid w:val="00085BB0"/>
    <w:rsid w:val="00085CD2"/>
    <w:rsid w:val="000868BB"/>
    <w:rsid w:val="00086E4D"/>
    <w:rsid w:val="00086EF8"/>
    <w:rsid w:val="00087ACF"/>
    <w:rsid w:val="0009060A"/>
    <w:rsid w:val="00090998"/>
    <w:rsid w:val="00090E59"/>
    <w:rsid w:val="00091DD4"/>
    <w:rsid w:val="00092425"/>
    <w:rsid w:val="00093F2C"/>
    <w:rsid w:val="0009492F"/>
    <w:rsid w:val="00094C6D"/>
    <w:rsid w:val="00094DF1"/>
    <w:rsid w:val="000953E8"/>
    <w:rsid w:val="000961E9"/>
    <w:rsid w:val="0009795B"/>
    <w:rsid w:val="000A20C2"/>
    <w:rsid w:val="000A2604"/>
    <w:rsid w:val="000B1BF5"/>
    <w:rsid w:val="000B2A1E"/>
    <w:rsid w:val="000B3230"/>
    <w:rsid w:val="000B3D87"/>
    <w:rsid w:val="000B44B6"/>
    <w:rsid w:val="000B60D9"/>
    <w:rsid w:val="000B6582"/>
    <w:rsid w:val="000B69DC"/>
    <w:rsid w:val="000B6E53"/>
    <w:rsid w:val="000B7904"/>
    <w:rsid w:val="000C019C"/>
    <w:rsid w:val="000C0244"/>
    <w:rsid w:val="000C0ED9"/>
    <w:rsid w:val="000C0F7F"/>
    <w:rsid w:val="000C25EC"/>
    <w:rsid w:val="000C36C4"/>
    <w:rsid w:val="000C4B2F"/>
    <w:rsid w:val="000C5CB3"/>
    <w:rsid w:val="000C5D57"/>
    <w:rsid w:val="000C5E23"/>
    <w:rsid w:val="000D26C2"/>
    <w:rsid w:val="000D6249"/>
    <w:rsid w:val="000D6C4C"/>
    <w:rsid w:val="000D7718"/>
    <w:rsid w:val="000E0B34"/>
    <w:rsid w:val="000E11BC"/>
    <w:rsid w:val="000E180B"/>
    <w:rsid w:val="000E18F4"/>
    <w:rsid w:val="000E1E3B"/>
    <w:rsid w:val="000E2CB3"/>
    <w:rsid w:val="000E5175"/>
    <w:rsid w:val="000E7BBF"/>
    <w:rsid w:val="000F1399"/>
    <w:rsid w:val="000F19CD"/>
    <w:rsid w:val="000F1A04"/>
    <w:rsid w:val="000F2EF7"/>
    <w:rsid w:val="000F3ACF"/>
    <w:rsid w:val="000F460A"/>
    <w:rsid w:val="000F6955"/>
    <w:rsid w:val="000F6CBE"/>
    <w:rsid w:val="000F77D9"/>
    <w:rsid w:val="0010306D"/>
    <w:rsid w:val="0010318C"/>
    <w:rsid w:val="001036F4"/>
    <w:rsid w:val="001037DF"/>
    <w:rsid w:val="0010521A"/>
    <w:rsid w:val="00106A5A"/>
    <w:rsid w:val="00107B73"/>
    <w:rsid w:val="00110AAF"/>
    <w:rsid w:val="001119FC"/>
    <w:rsid w:val="00113E5E"/>
    <w:rsid w:val="001148CA"/>
    <w:rsid w:val="0011523E"/>
    <w:rsid w:val="0011669A"/>
    <w:rsid w:val="0011706B"/>
    <w:rsid w:val="00117375"/>
    <w:rsid w:val="00120029"/>
    <w:rsid w:val="001200D1"/>
    <w:rsid w:val="00120A3B"/>
    <w:rsid w:val="00120FF4"/>
    <w:rsid w:val="001217FD"/>
    <w:rsid w:val="00121AEB"/>
    <w:rsid w:val="00122FBD"/>
    <w:rsid w:val="00124473"/>
    <w:rsid w:val="00124769"/>
    <w:rsid w:val="001247E8"/>
    <w:rsid w:val="001254C5"/>
    <w:rsid w:val="001258FE"/>
    <w:rsid w:val="00125B25"/>
    <w:rsid w:val="001267BE"/>
    <w:rsid w:val="0012738E"/>
    <w:rsid w:val="00127D56"/>
    <w:rsid w:val="001303A9"/>
    <w:rsid w:val="0013135B"/>
    <w:rsid w:val="00131845"/>
    <w:rsid w:val="0013409A"/>
    <w:rsid w:val="00134FC0"/>
    <w:rsid w:val="00136250"/>
    <w:rsid w:val="0013644E"/>
    <w:rsid w:val="00140663"/>
    <w:rsid w:val="0014154B"/>
    <w:rsid w:val="00142574"/>
    <w:rsid w:val="00142AE3"/>
    <w:rsid w:val="001433C8"/>
    <w:rsid w:val="0014357B"/>
    <w:rsid w:val="001457B4"/>
    <w:rsid w:val="00145CBA"/>
    <w:rsid w:val="0014642B"/>
    <w:rsid w:val="00150499"/>
    <w:rsid w:val="001506DD"/>
    <w:rsid w:val="001516F0"/>
    <w:rsid w:val="00152F8F"/>
    <w:rsid w:val="00153260"/>
    <w:rsid w:val="00153733"/>
    <w:rsid w:val="00155420"/>
    <w:rsid w:val="0015543C"/>
    <w:rsid w:val="001569A7"/>
    <w:rsid w:val="00156FE1"/>
    <w:rsid w:val="00157399"/>
    <w:rsid w:val="0016233A"/>
    <w:rsid w:val="001632BB"/>
    <w:rsid w:val="00165AE0"/>
    <w:rsid w:val="00165D70"/>
    <w:rsid w:val="00166789"/>
    <w:rsid w:val="001706A7"/>
    <w:rsid w:val="0017356D"/>
    <w:rsid w:val="00173E9B"/>
    <w:rsid w:val="0017564D"/>
    <w:rsid w:val="0017572D"/>
    <w:rsid w:val="001775F2"/>
    <w:rsid w:val="001779C8"/>
    <w:rsid w:val="001779E1"/>
    <w:rsid w:val="00181325"/>
    <w:rsid w:val="001831E9"/>
    <w:rsid w:val="00183D35"/>
    <w:rsid w:val="00184729"/>
    <w:rsid w:val="001853C6"/>
    <w:rsid w:val="001854BB"/>
    <w:rsid w:val="00185905"/>
    <w:rsid w:val="00186A63"/>
    <w:rsid w:val="001902C3"/>
    <w:rsid w:val="00191C20"/>
    <w:rsid w:val="00192068"/>
    <w:rsid w:val="0019340F"/>
    <w:rsid w:val="00193CE0"/>
    <w:rsid w:val="00194F9F"/>
    <w:rsid w:val="00196485"/>
    <w:rsid w:val="001965E9"/>
    <w:rsid w:val="00197620"/>
    <w:rsid w:val="00197721"/>
    <w:rsid w:val="00197C18"/>
    <w:rsid w:val="001A00E1"/>
    <w:rsid w:val="001A3C66"/>
    <w:rsid w:val="001A5606"/>
    <w:rsid w:val="001A6F4B"/>
    <w:rsid w:val="001A72E3"/>
    <w:rsid w:val="001B03EC"/>
    <w:rsid w:val="001B08EA"/>
    <w:rsid w:val="001B201F"/>
    <w:rsid w:val="001B30A3"/>
    <w:rsid w:val="001B51FD"/>
    <w:rsid w:val="001B633D"/>
    <w:rsid w:val="001B66AC"/>
    <w:rsid w:val="001B6EA7"/>
    <w:rsid w:val="001B7CCF"/>
    <w:rsid w:val="001C0554"/>
    <w:rsid w:val="001C0B39"/>
    <w:rsid w:val="001C2537"/>
    <w:rsid w:val="001C2A91"/>
    <w:rsid w:val="001C5082"/>
    <w:rsid w:val="001C583C"/>
    <w:rsid w:val="001C6464"/>
    <w:rsid w:val="001C7A6E"/>
    <w:rsid w:val="001D0AA2"/>
    <w:rsid w:val="001D2AE9"/>
    <w:rsid w:val="001D317D"/>
    <w:rsid w:val="001D45EB"/>
    <w:rsid w:val="001D4B23"/>
    <w:rsid w:val="001E0E71"/>
    <w:rsid w:val="001E1632"/>
    <w:rsid w:val="001E2BF0"/>
    <w:rsid w:val="001E2E9F"/>
    <w:rsid w:val="001E45AA"/>
    <w:rsid w:val="001E45F7"/>
    <w:rsid w:val="001E47F0"/>
    <w:rsid w:val="001E4925"/>
    <w:rsid w:val="001E4B1C"/>
    <w:rsid w:val="001F2502"/>
    <w:rsid w:val="001F269C"/>
    <w:rsid w:val="001F3430"/>
    <w:rsid w:val="001F3D7C"/>
    <w:rsid w:val="001F45AF"/>
    <w:rsid w:val="001F4CDD"/>
    <w:rsid w:val="001F500F"/>
    <w:rsid w:val="001F5EAE"/>
    <w:rsid w:val="001F68C5"/>
    <w:rsid w:val="001F752E"/>
    <w:rsid w:val="001F7E51"/>
    <w:rsid w:val="00201E72"/>
    <w:rsid w:val="00202423"/>
    <w:rsid w:val="002029FD"/>
    <w:rsid w:val="00203867"/>
    <w:rsid w:val="00203CD9"/>
    <w:rsid w:val="00203F16"/>
    <w:rsid w:val="00206759"/>
    <w:rsid w:val="00215C4E"/>
    <w:rsid w:val="00215E4D"/>
    <w:rsid w:val="00216B50"/>
    <w:rsid w:val="00216BBA"/>
    <w:rsid w:val="00217199"/>
    <w:rsid w:val="002200F8"/>
    <w:rsid w:val="00220BE6"/>
    <w:rsid w:val="00222089"/>
    <w:rsid w:val="0022588E"/>
    <w:rsid w:val="0022597D"/>
    <w:rsid w:val="00225BD1"/>
    <w:rsid w:val="00225CA6"/>
    <w:rsid w:val="002270B5"/>
    <w:rsid w:val="00227C62"/>
    <w:rsid w:val="002310A3"/>
    <w:rsid w:val="0023116E"/>
    <w:rsid w:val="0023232E"/>
    <w:rsid w:val="0023277A"/>
    <w:rsid w:val="00232882"/>
    <w:rsid w:val="00233C06"/>
    <w:rsid w:val="00235202"/>
    <w:rsid w:val="00236A0A"/>
    <w:rsid w:val="002377ED"/>
    <w:rsid w:val="002378CB"/>
    <w:rsid w:val="00240FB4"/>
    <w:rsid w:val="002410F9"/>
    <w:rsid w:val="00241A47"/>
    <w:rsid w:val="00241C7D"/>
    <w:rsid w:val="00243D22"/>
    <w:rsid w:val="00244933"/>
    <w:rsid w:val="00247291"/>
    <w:rsid w:val="00247813"/>
    <w:rsid w:val="00247BAC"/>
    <w:rsid w:val="00251543"/>
    <w:rsid w:val="002537D5"/>
    <w:rsid w:val="002545CC"/>
    <w:rsid w:val="00254B37"/>
    <w:rsid w:val="00254EA3"/>
    <w:rsid w:val="002551F1"/>
    <w:rsid w:val="002564E7"/>
    <w:rsid w:val="002570B9"/>
    <w:rsid w:val="002576BC"/>
    <w:rsid w:val="00257B38"/>
    <w:rsid w:val="00262574"/>
    <w:rsid w:val="002627EC"/>
    <w:rsid w:val="002637AB"/>
    <w:rsid w:val="00264026"/>
    <w:rsid w:val="002640C7"/>
    <w:rsid w:val="002651BF"/>
    <w:rsid w:val="002659A5"/>
    <w:rsid w:val="00266698"/>
    <w:rsid w:val="00271FAC"/>
    <w:rsid w:val="00272170"/>
    <w:rsid w:val="00272C38"/>
    <w:rsid w:val="00273142"/>
    <w:rsid w:val="0027354E"/>
    <w:rsid w:val="00274FC0"/>
    <w:rsid w:val="00275A59"/>
    <w:rsid w:val="00283268"/>
    <w:rsid w:val="00285964"/>
    <w:rsid w:val="0028762F"/>
    <w:rsid w:val="00287635"/>
    <w:rsid w:val="002912C0"/>
    <w:rsid w:val="002929FB"/>
    <w:rsid w:val="00292E86"/>
    <w:rsid w:val="002953A3"/>
    <w:rsid w:val="00295A62"/>
    <w:rsid w:val="00296597"/>
    <w:rsid w:val="00296746"/>
    <w:rsid w:val="00296795"/>
    <w:rsid w:val="002968EB"/>
    <w:rsid w:val="002A1B2F"/>
    <w:rsid w:val="002A1C7E"/>
    <w:rsid w:val="002A4417"/>
    <w:rsid w:val="002A672B"/>
    <w:rsid w:val="002A6F58"/>
    <w:rsid w:val="002B0312"/>
    <w:rsid w:val="002B10C2"/>
    <w:rsid w:val="002B14FA"/>
    <w:rsid w:val="002B1590"/>
    <w:rsid w:val="002B18C7"/>
    <w:rsid w:val="002B2629"/>
    <w:rsid w:val="002B2B2C"/>
    <w:rsid w:val="002B36B3"/>
    <w:rsid w:val="002B43F2"/>
    <w:rsid w:val="002B4885"/>
    <w:rsid w:val="002B63AC"/>
    <w:rsid w:val="002B666A"/>
    <w:rsid w:val="002B6B00"/>
    <w:rsid w:val="002B74D2"/>
    <w:rsid w:val="002B7BD0"/>
    <w:rsid w:val="002C0583"/>
    <w:rsid w:val="002C2206"/>
    <w:rsid w:val="002C27B3"/>
    <w:rsid w:val="002C3EAC"/>
    <w:rsid w:val="002C4ECF"/>
    <w:rsid w:val="002C5BBC"/>
    <w:rsid w:val="002C6B02"/>
    <w:rsid w:val="002C7446"/>
    <w:rsid w:val="002D0FB3"/>
    <w:rsid w:val="002D131C"/>
    <w:rsid w:val="002D1430"/>
    <w:rsid w:val="002D1460"/>
    <w:rsid w:val="002D15B1"/>
    <w:rsid w:val="002D2809"/>
    <w:rsid w:val="002D2E83"/>
    <w:rsid w:val="002D45E0"/>
    <w:rsid w:val="002D6F2E"/>
    <w:rsid w:val="002D7F06"/>
    <w:rsid w:val="002E0698"/>
    <w:rsid w:val="002E0719"/>
    <w:rsid w:val="002E2459"/>
    <w:rsid w:val="002E28F7"/>
    <w:rsid w:val="002E29C8"/>
    <w:rsid w:val="002E2A81"/>
    <w:rsid w:val="002E36E5"/>
    <w:rsid w:val="002E418A"/>
    <w:rsid w:val="002E55FF"/>
    <w:rsid w:val="002E7EFD"/>
    <w:rsid w:val="002F150E"/>
    <w:rsid w:val="002F1FDC"/>
    <w:rsid w:val="002F2E1D"/>
    <w:rsid w:val="002F468F"/>
    <w:rsid w:val="002F4A9E"/>
    <w:rsid w:val="002F6A6F"/>
    <w:rsid w:val="002F7E6D"/>
    <w:rsid w:val="0030029F"/>
    <w:rsid w:val="003010CC"/>
    <w:rsid w:val="00301FDB"/>
    <w:rsid w:val="00302E0B"/>
    <w:rsid w:val="00302FAA"/>
    <w:rsid w:val="00306686"/>
    <w:rsid w:val="003070C6"/>
    <w:rsid w:val="003072AC"/>
    <w:rsid w:val="00311365"/>
    <w:rsid w:val="003113DE"/>
    <w:rsid w:val="00311BBD"/>
    <w:rsid w:val="00311E09"/>
    <w:rsid w:val="00312B73"/>
    <w:rsid w:val="00313293"/>
    <w:rsid w:val="003133C4"/>
    <w:rsid w:val="003139ED"/>
    <w:rsid w:val="003158EC"/>
    <w:rsid w:val="00315CF0"/>
    <w:rsid w:val="00316D45"/>
    <w:rsid w:val="00317109"/>
    <w:rsid w:val="003204F2"/>
    <w:rsid w:val="00322BDE"/>
    <w:rsid w:val="00322E27"/>
    <w:rsid w:val="003244FE"/>
    <w:rsid w:val="003248FD"/>
    <w:rsid w:val="0032699B"/>
    <w:rsid w:val="00326E75"/>
    <w:rsid w:val="003275DF"/>
    <w:rsid w:val="00333D6E"/>
    <w:rsid w:val="00334E6B"/>
    <w:rsid w:val="00334E89"/>
    <w:rsid w:val="00337EC4"/>
    <w:rsid w:val="00340FBD"/>
    <w:rsid w:val="003431FA"/>
    <w:rsid w:val="00345F65"/>
    <w:rsid w:val="00346171"/>
    <w:rsid w:val="003471B4"/>
    <w:rsid w:val="00350505"/>
    <w:rsid w:val="00351F74"/>
    <w:rsid w:val="00353A75"/>
    <w:rsid w:val="00354DCB"/>
    <w:rsid w:val="00354EAD"/>
    <w:rsid w:val="00356563"/>
    <w:rsid w:val="003613F9"/>
    <w:rsid w:val="003617A3"/>
    <w:rsid w:val="00362DCE"/>
    <w:rsid w:val="00363FBD"/>
    <w:rsid w:val="00364BB7"/>
    <w:rsid w:val="00364DF4"/>
    <w:rsid w:val="0036660F"/>
    <w:rsid w:val="00371076"/>
    <w:rsid w:val="00371285"/>
    <w:rsid w:val="0037275B"/>
    <w:rsid w:val="00372DA5"/>
    <w:rsid w:val="00374C17"/>
    <w:rsid w:val="0037514B"/>
    <w:rsid w:val="003756AC"/>
    <w:rsid w:val="003763F8"/>
    <w:rsid w:val="00376DB1"/>
    <w:rsid w:val="0037786C"/>
    <w:rsid w:val="00377AAF"/>
    <w:rsid w:val="00377C67"/>
    <w:rsid w:val="00377F8A"/>
    <w:rsid w:val="0038455C"/>
    <w:rsid w:val="00384F0F"/>
    <w:rsid w:val="00385795"/>
    <w:rsid w:val="00385831"/>
    <w:rsid w:val="003867FF"/>
    <w:rsid w:val="00387B08"/>
    <w:rsid w:val="003900B1"/>
    <w:rsid w:val="003911C1"/>
    <w:rsid w:val="003914C7"/>
    <w:rsid w:val="00391715"/>
    <w:rsid w:val="003937DE"/>
    <w:rsid w:val="003949E3"/>
    <w:rsid w:val="00396F69"/>
    <w:rsid w:val="003A2E3D"/>
    <w:rsid w:val="003A4184"/>
    <w:rsid w:val="003A43F3"/>
    <w:rsid w:val="003A483C"/>
    <w:rsid w:val="003A4881"/>
    <w:rsid w:val="003A569F"/>
    <w:rsid w:val="003A66FB"/>
    <w:rsid w:val="003A682A"/>
    <w:rsid w:val="003B1141"/>
    <w:rsid w:val="003B1545"/>
    <w:rsid w:val="003B1D59"/>
    <w:rsid w:val="003B35EF"/>
    <w:rsid w:val="003B380F"/>
    <w:rsid w:val="003B3CD8"/>
    <w:rsid w:val="003B76B5"/>
    <w:rsid w:val="003B788D"/>
    <w:rsid w:val="003C0DC0"/>
    <w:rsid w:val="003C1020"/>
    <w:rsid w:val="003C2C8B"/>
    <w:rsid w:val="003C58ED"/>
    <w:rsid w:val="003D09EA"/>
    <w:rsid w:val="003D1409"/>
    <w:rsid w:val="003D1DDE"/>
    <w:rsid w:val="003D2263"/>
    <w:rsid w:val="003D29EE"/>
    <w:rsid w:val="003D2ED5"/>
    <w:rsid w:val="003D3091"/>
    <w:rsid w:val="003D3399"/>
    <w:rsid w:val="003D44E3"/>
    <w:rsid w:val="003D53BE"/>
    <w:rsid w:val="003D54F4"/>
    <w:rsid w:val="003D7840"/>
    <w:rsid w:val="003D7F8F"/>
    <w:rsid w:val="003E16A9"/>
    <w:rsid w:val="003E3EEA"/>
    <w:rsid w:val="003E4257"/>
    <w:rsid w:val="003E458A"/>
    <w:rsid w:val="003E4D30"/>
    <w:rsid w:val="003E606D"/>
    <w:rsid w:val="003E6688"/>
    <w:rsid w:val="003E6FF2"/>
    <w:rsid w:val="003E79C6"/>
    <w:rsid w:val="003E7AB6"/>
    <w:rsid w:val="003F156D"/>
    <w:rsid w:val="003F1BB1"/>
    <w:rsid w:val="003F3400"/>
    <w:rsid w:val="003F3720"/>
    <w:rsid w:val="003F390E"/>
    <w:rsid w:val="003F3AE8"/>
    <w:rsid w:val="003F5234"/>
    <w:rsid w:val="003F53C8"/>
    <w:rsid w:val="003F5D7F"/>
    <w:rsid w:val="003F638F"/>
    <w:rsid w:val="003F6DD7"/>
    <w:rsid w:val="003F7747"/>
    <w:rsid w:val="004009F2"/>
    <w:rsid w:val="004016F1"/>
    <w:rsid w:val="00402678"/>
    <w:rsid w:val="00402C4B"/>
    <w:rsid w:val="00403161"/>
    <w:rsid w:val="00403591"/>
    <w:rsid w:val="00403B3C"/>
    <w:rsid w:val="00404B3B"/>
    <w:rsid w:val="00405A85"/>
    <w:rsid w:val="00406675"/>
    <w:rsid w:val="00406E6C"/>
    <w:rsid w:val="004073FC"/>
    <w:rsid w:val="004102AB"/>
    <w:rsid w:val="00411C72"/>
    <w:rsid w:val="004139D6"/>
    <w:rsid w:val="00414226"/>
    <w:rsid w:val="00414D10"/>
    <w:rsid w:val="00415472"/>
    <w:rsid w:val="0041597C"/>
    <w:rsid w:val="004170F6"/>
    <w:rsid w:val="00417B3C"/>
    <w:rsid w:val="00421C29"/>
    <w:rsid w:val="00421ED3"/>
    <w:rsid w:val="00423ECA"/>
    <w:rsid w:val="00423FCD"/>
    <w:rsid w:val="00424214"/>
    <w:rsid w:val="00424EFB"/>
    <w:rsid w:val="00430D6D"/>
    <w:rsid w:val="00431ECF"/>
    <w:rsid w:val="00432202"/>
    <w:rsid w:val="00433EC8"/>
    <w:rsid w:val="0043438B"/>
    <w:rsid w:val="004348AA"/>
    <w:rsid w:val="004352F0"/>
    <w:rsid w:val="00435FEF"/>
    <w:rsid w:val="00440111"/>
    <w:rsid w:val="00440391"/>
    <w:rsid w:val="00440ACA"/>
    <w:rsid w:val="00441605"/>
    <w:rsid w:val="00442827"/>
    <w:rsid w:val="00443B39"/>
    <w:rsid w:val="004460DE"/>
    <w:rsid w:val="00446813"/>
    <w:rsid w:val="00447591"/>
    <w:rsid w:val="00451AE1"/>
    <w:rsid w:val="004537E4"/>
    <w:rsid w:val="00453A7C"/>
    <w:rsid w:val="004542CF"/>
    <w:rsid w:val="0045454B"/>
    <w:rsid w:val="00454BB7"/>
    <w:rsid w:val="00454D43"/>
    <w:rsid w:val="00455341"/>
    <w:rsid w:val="00455CEB"/>
    <w:rsid w:val="00455EA0"/>
    <w:rsid w:val="0045628B"/>
    <w:rsid w:val="0045664F"/>
    <w:rsid w:val="00457995"/>
    <w:rsid w:val="0046066C"/>
    <w:rsid w:val="0046269B"/>
    <w:rsid w:val="0046340D"/>
    <w:rsid w:val="00463DD9"/>
    <w:rsid w:val="00463EE2"/>
    <w:rsid w:val="00465ED6"/>
    <w:rsid w:val="0046678B"/>
    <w:rsid w:val="0046713A"/>
    <w:rsid w:val="00467ABA"/>
    <w:rsid w:val="00470757"/>
    <w:rsid w:val="004747C8"/>
    <w:rsid w:val="00475115"/>
    <w:rsid w:val="00475457"/>
    <w:rsid w:val="004763A1"/>
    <w:rsid w:val="0047721A"/>
    <w:rsid w:val="00477CA2"/>
    <w:rsid w:val="00480336"/>
    <w:rsid w:val="004830F2"/>
    <w:rsid w:val="00483776"/>
    <w:rsid w:val="004860E2"/>
    <w:rsid w:val="0048689F"/>
    <w:rsid w:val="00490A82"/>
    <w:rsid w:val="00493222"/>
    <w:rsid w:val="00493D76"/>
    <w:rsid w:val="00495131"/>
    <w:rsid w:val="0049590D"/>
    <w:rsid w:val="004967A7"/>
    <w:rsid w:val="004A07C1"/>
    <w:rsid w:val="004A08B1"/>
    <w:rsid w:val="004A2564"/>
    <w:rsid w:val="004A41F7"/>
    <w:rsid w:val="004A6D70"/>
    <w:rsid w:val="004B052A"/>
    <w:rsid w:val="004B08B3"/>
    <w:rsid w:val="004B1014"/>
    <w:rsid w:val="004B203E"/>
    <w:rsid w:val="004B2CA4"/>
    <w:rsid w:val="004B3EF4"/>
    <w:rsid w:val="004B4139"/>
    <w:rsid w:val="004B4A51"/>
    <w:rsid w:val="004B4D96"/>
    <w:rsid w:val="004B7345"/>
    <w:rsid w:val="004C078C"/>
    <w:rsid w:val="004C0EB1"/>
    <w:rsid w:val="004C18EA"/>
    <w:rsid w:val="004C1C0A"/>
    <w:rsid w:val="004C2AE1"/>
    <w:rsid w:val="004C2F44"/>
    <w:rsid w:val="004C3708"/>
    <w:rsid w:val="004C43E1"/>
    <w:rsid w:val="004C5446"/>
    <w:rsid w:val="004C54E1"/>
    <w:rsid w:val="004C57C1"/>
    <w:rsid w:val="004C5A36"/>
    <w:rsid w:val="004C73DF"/>
    <w:rsid w:val="004C7D8E"/>
    <w:rsid w:val="004D16FF"/>
    <w:rsid w:val="004D399E"/>
    <w:rsid w:val="004D650A"/>
    <w:rsid w:val="004E06E5"/>
    <w:rsid w:val="004E5972"/>
    <w:rsid w:val="004E5FE4"/>
    <w:rsid w:val="004F0D83"/>
    <w:rsid w:val="004F15DB"/>
    <w:rsid w:val="004F2D6B"/>
    <w:rsid w:val="004F58C9"/>
    <w:rsid w:val="004F5AC3"/>
    <w:rsid w:val="004F6980"/>
    <w:rsid w:val="004F7623"/>
    <w:rsid w:val="0050044D"/>
    <w:rsid w:val="00503738"/>
    <w:rsid w:val="00503E33"/>
    <w:rsid w:val="00504ADD"/>
    <w:rsid w:val="00511982"/>
    <w:rsid w:val="00511E07"/>
    <w:rsid w:val="00512863"/>
    <w:rsid w:val="00512C8F"/>
    <w:rsid w:val="00513EFF"/>
    <w:rsid w:val="00515BC1"/>
    <w:rsid w:val="005161D0"/>
    <w:rsid w:val="00517096"/>
    <w:rsid w:val="0051783F"/>
    <w:rsid w:val="005179F6"/>
    <w:rsid w:val="00520AB5"/>
    <w:rsid w:val="00521453"/>
    <w:rsid w:val="00523548"/>
    <w:rsid w:val="005264E1"/>
    <w:rsid w:val="00526787"/>
    <w:rsid w:val="00526D1E"/>
    <w:rsid w:val="00531ED9"/>
    <w:rsid w:val="00532499"/>
    <w:rsid w:val="005329C5"/>
    <w:rsid w:val="00532F3E"/>
    <w:rsid w:val="00536428"/>
    <w:rsid w:val="00536C52"/>
    <w:rsid w:val="00540EDA"/>
    <w:rsid w:val="005427DC"/>
    <w:rsid w:val="00542F49"/>
    <w:rsid w:val="00544513"/>
    <w:rsid w:val="005455A5"/>
    <w:rsid w:val="00545AF2"/>
    <w:rsid w:val="00546308"/>
    <w:rsid w:val="00551E56"/>
    <w:rsid w:val="00552527"/>
    <w:rsid w:val="005525E3"/>
    <w:rsid w:val="00553603"/>
    <w:rsid w:val="00554C07"/>
    <w:rsid w:val="00555762"/>
    <w:rsid w:val="00555D87"/>
    <w:rsid w:val="0055625B"/>
    <w:rsid w:val="005564EC"/>
    <w:rsid w:val="00560024"/>
    <w:rsid w:val="00561038"/>
    <w:rsid w:val="00563A52"/>
    <w:rsid w:val="00563D02"/>
    <w:rsid w:val="0056581F"/>
    <w:rsid w:val="00570D21"/>
    <w:rsid w:val="005721B7"/>
    <w:rsid w:val="00572732"/>
    <w:rsid w:val="00573756"/>
    <w:rsid w:val="0057564C"/>
    <w:rsid w:val="005808A5"/>
    <w:rsid w:val="00581E31"/>
    <w:rsid w:val="00581E38"/>
    <w:rsid w:val="00584DCC"/>
    <w:rsid w:val="00584EA4"/>
    <w:rsid w:val="005855F6"/>
    <w:rsid w:val="005860E2"/>
    <w:rsid w:val="00590027"/>
    <w:rsid w:val="005904B3"/>
    <w:rsid w:val="00591BFE"/>
    <w:rsid w:val="00592007"/>
    <w:rsid w:val="00592C69"/>
    <w:rsid w:val="00593285"/>
    <w:rsid w:val="00594CD6"/>
    <w:rsid w:val="00595B76"/>
    <w:rsid w:val="00596E5C"/>
    <w:rsid w:val="00596EEE"/>
    <w:rsid w:val="005A0465"/>
    <w:rsid w:val="005A0D9B"/>
    <w:rsid w:val="005A3BEE"/>
    <w:rsid w:val="005A4ABB"/>
    <w:rsid w:val="005A5D8F"/>
    <w:rsid w:val="005A626E"/>
    <w:rsid w:val="005A6955"/>
    <w:rsid w:val="005B0D77"/>
    <w:rsid w:val="005B1AB3"/>
    <w:rsid w:val="005B1F4B"/>
    <w:rsid w:val="005B2A23"/>
    <w:rsid w:val="005B32F0"/>
    <w:rsid w:val="005B3398"/>
    <w:rsid w:val="005B4448"/>
    <w:rsid w:val="005B69BA"/>
    <w:rsid w:val="005B7657"/>
    <w:rsid w:val="005C0307"/>
    <w:rsid w:val="005C1B0D"/>
    <w:rsid w:val="005C441C"/>
    <w:rsid w:val="005C4E05"/>
    <w:rsid w:val="005C762C"/>
    <w:rsid w:val="005D030D"/>
    <w:rsid w:val="005D05B2"/>
    <w:rsid w:val="005D17CD"/>
    <w:rsid w:val="005D4478"/>
    <w:rsid w:val="005D5965"/>
    <w:rsid w:val="005D59EB"/>
    <w:rsid w:val="005D5B14"/>
    <w:rsid w:val="005D7348"/>
    <w:rsid w:val="005E11A6"/>
    <w:rsid w:val="005E17B7"/>
    <w:rsid w:val="005E1A87"/>
    <w:rsid w:val="005E3680"/>
    <w:rsid w:val="005E50B1"/>
    <w:rsid w:val="005E6807"/>
    <w:rsid w:val="005E728D"/>
    <w:rsid w:val="005E7FA7"/>
    <w:rsid w:val="005F01CD"/>
    <w:rsid w:val="005F0E9B"/>
    <w:rsid w:val="005F1DBD"/>
    <w:rsid w:val="005F2919"/>
    <w:rsid w:val="005F480A"/>
    <w:rsid w:val="005F56DA"/>
    <w:rsid w:val="005F662D"/>
    <w:rsid w:val="005F7592"/>
    <w:rsid w:val="005F761E"/>
    <w:rsid w:val="005F7A44"/>
    <w:rsid w:val="006000FA"/>
    <w:rsid w:val="006021E3"/>
    <w:rsid w:val="0060394F"/>
    <w:rsid w:val="00603C6E"/>
    <w:rsid w:val="00603FE8"/>
    <w:rsid w:val="0060673F"/>
    <w:rsid w:val="00607827"/>
    <w:rsid w:val="006105A6"/>
    <w:rsid w:val="00610B09"/>
    <w:rsid w:val="006138A6"/>
    <w:rsid w:val="00614E9B"/>
    <w:rsid w:val="006163B6"/>
    <w:rsid w:val="006223E5"/>
    <w:rsid w:val="00622E28"/>
    <w:rsid w:val="006258A7"/>
    <w:rsid w:val="00625C13"/>
    <w:rsid w:val="00625E96"/>
    <w:rsid w:val="00627DDA"/>
    <w:rsid w:val="00631C45"/>
    <w:rsid w:val="00632096"/>
    <w:rsid w:val="0063282B"/>
    <w:rsid w:val="00633156"/>
    <w:rsid w:val="006362AB"/>
    <w:rsid w:val="00636561"/>
    <w:rsid w:val="00636966"/>
    <w:rsid w:val="00636F34"/>
    <w:rsid w:val="00637DA9"/>
    <w:rsid w:val="00640B4A"/>
    <w:rsid w:val="00641B7D"/>
    <w:rsid w:val="00642110"/>
    <w:rsid w:val="006435F1"/>
    <w:rsid w:val="0064540B"/>
    <w:rsid w:val="006458A2"/>
    <w:rsid w:val="00646218"/>
    <w:rsid w:val="00652315"/>
    <w:rsid w:val="0065354B"/>
    <w:rsid w:val="0065479D"/>
    <w:rsid w:val="00655D41"/>
    <w:rsid w:val="0065766A"/>
    <w:rsid w:val="00657822"/>
    <w:rsid w:val="00657CCB"/>
    <w:rsid w:val="00660A84"/>
    <w:rsid w:val="0066143A"/>
    <w:rsid w:val="00661DCC"/>
    <w:rsid w:val="00662666"/>
    <w:rsid w:val="00664036"/>
    <w:rsid w:val="006708A5"/>
    <w:rsid w:val="0067155F"/>
    <w:rsid w:val="006726A0"/>
    <w:rsid w:val="00673F34"/>
    <w:rsid w:val="00674EAD"/>
    <w:rsid w:val="006768CE"/>
    <w:rsid w:val="00676BF7"/>
    <w:rsid w:val="00681412"/>
    <w:rsid w:val="00681CEC"/>
    <w:rsid w:val="0068202F"/>
    <w:rsid w:val="00682225"/>
    <w:rsid w:val="00682B1A"/>
    <w:rsid w:val="00683550"/>
    <w:rsid w:val="0069153B"/>
    <w:rsid w:val="00693A88"/>
    <w:rsid w:val="0069502C"/>
    <w:rsid w:val="006A1983"/>
    <w:rsid w:val="006A232F"/>
    <w:rsid w:val="006A29D4"/>
    <w:rsid w:val="006A2F1F"/>
    <w:rsid w:val="006A3021"/>
    <w:rsid w:val="006A32D5"/>
    <w:rsid w:val="006A5975"/>
    <w:rsid w:val="006A6814"/>
    <w:rsid w:val="006B0DC1"/>
    <w:rsid w:val="006B175E"/>
    <w:rsid w:val="006B2868"/>
    <w:rsid w:val="006B28A8"/>
    <w:rsid w:val="006B6E28"/>
    <w:rsid w:val="006B7396"/>
    <w:rsid w:val="006B7EB0"/>
    <w:rsid w:val="006C0B7C"/>
    <w:rsid w:val="006C221F"/>
    <w:rsid w:val="006C2241"/>
    <w:rsid w:val="006C3107"/>
    <w:rsid w:val="006C4806"/>
    <w:rsid w:val="006D043A"/>
    <w:rsid w:val="006D2484"/>
    <w:rsid w:val="006D29F4"/>
    <w:rsid w:val="006D5233"/>
    <w:rsid w:val="006D5EAC"/>
    <w:rsid w:val="006D6FBD"/>
    <w:rsid w:val="006D7711"/>
    <w:rsid w:val="006D779D"/>
    <w:rsid w:val="006E0A3D"/>
    <w:rsid w:val="006E18E9"/>
    <w:rsid w:val="006E3265"/>
    <w:rsid w:val="006E3366"/>
    <w:rsid w:val="006E46B8"/>
    <w:rsid w:val="006E4F89"/>
    <w:rsid w:val="006F0F97"/>
    <w:rsid w:val="006F1C64"/>
    <w:rsid w:val="006F3D6C"/>
    <w:rsid w:val="006F4121"/>
    <w:rsid w:val="00700B40"/>
    <w:rsid w:val="00701D56"/>
    <w:rsid w:val="00701F92"/>
    <w:rsid w:val="00702206"/>
    <w:rsid w:val="007024A1"/>
    <w:rsid w:val="00702B10"/>
    <w:rsid w:val="007034E5"/>
    <w:rsid w:val="00703D14"/>
    <w:rsid w:val="007045DA"/>
    <w:rsid w:val="00704C2C"/>
    <w:rsid w:val="0070583E"/>
    <w:rsid w:val="00707261"/>
    <w:rsid w:val="00712530"/>
    <w:rsid w:val="0071265E"/>
    <w:rsid w:val="007133C5"/>
    <w:rsid w:val="007154B4"/>
    <w:rsid w:val="0071621B"/>
    <w:rsid w:val="007246FB"/>
    <w:rsid w:val="0072477D"/>
    <w:rsid w:val="00726B81"/>
    <w:rsid w:val="00730E1F"/>
    <w:rsid w:val="0073102F"/>
    <w:rsid w:val="00731266"/>
    <w:rsid w:val="0074183F"/>
    <w:rsid w:val="00742D6E"/>
    <w:rsid w:val="00743F20"/>
    <w:rsid w:val="00745F33"/>
    <w:rsid w:val="00747258"/>
    <w:rsid w:val="00747842"/>
    <w:rsid w:val="0074794C"/>
    <w:rsid w:val="00750F55"/>
    <w:rsid w:val="00750FDA"/>
    <w:rsid w:val="00751C59"/>
    <w:rsid w:val="00752E18"/>
    <w:rsid w:val="00753157"/>
    <w:rsid w:val="00757149"/>
    <w:rsid w:val="00757B78"/>
    <w:rsid w:val="00760771"/>
    <w:rsid w:val="00761DD3"/>
    <w:rsid w:val="00761FBB"/>
    <w:rsid w:val="0076491D"/>
    <w:rsid w:val="00765300"/>
    <w:rsid w:val="00766059"/>
    <w:rsid w:val="00766DCC"/>
    <w:rsid w:val="007676B0"/>
    <w:rsid w:val="0077028E"/>
    <w:rsid w:val="0077209E"/>
    <w:rsid w:val="007724FD"/>
    <w:rsid w:val="007730E5"/>
    <w:rsid w:val="0077477C"/>
    <w:rsid w:val="00775418"/>
    <w:rsid w:val="00776610"/>
    <w:rsid w:val="00776630"/>
    <w:rsid w:val="00776E21"/>
    <w:rsid w:val="007800D0"/>
    <w:rsid w:val="00781503"/>
    <w:rsid w:val="00784F73"/>
    <w:rsid w:val="00785824"/>
    <w:rsid w:val="00785940"/>
    <w:rsid w:val="007862CF"/>
    <w:rsid w:val="0078666F"/>
    <w:rsid w:val="00786E0B"/>
    <w:rsid w:val="007901F0"/>
    <w:rsid w:val="0079041D"/>
    <w:rsid w:val="00791190"/>
    <w:rsid w:val="00791656"/>
    <w:rsid w:val="00792383"/>
    <w:rsid w:val="00792D6C"/>
    <w:rsid w:val="00793472"/>
    <w:rsid w:val="0079578D"/>
    <w:rsid w:val="00795C03"/>
    <w:rsid w:val="00796392"/>
    <w:rsid w:val="007A0CDD"/>
    <w:rsid w:val="007A36B4"/>
    <w:rsid w:val="007A4655"/>
    <w:rsid w:val="007A47FD"/>
    <w:rsid w:val="007A5ED6"/>
    <w:rsid w:val="007A657E"/>
    <w:rsid w:val="007A7993"/>
    <w:rsid w:val="007B04FA"/>
    <w:rsid w:val="007B7FC3"/>
    <w:rsid w:val="007C035E"/>
    <w:rsid w:val="007C23B8"/>
    <w:rsid w:val="007C27C3"/>
    <w:rsid w:val="007C5528"/>
    <w:rsid w:val="007C6D9E"/>
    <w:rsid w:val="007D02B2"/>
    <w:rsid w:val="007D03DD"/>
    <w:rsid w:val="007D12CB"/>
    <w:rsid w:val="007D2CB9"/>
    <w:rsid w:val="007D413C"/>
    <w:rsid w:val="007D46BE"/>
    <w:rsid w:val="007D484F"/>
    <w:rsid w:val="007D5593"/>
    <w:rsid w:val="007D57C0"/>
    <w:rsid w:val="007D65D2"/>
    <w:rsid w:val="007D6FE3"/>
    <w:rsid w:val="007D7343"/>
    <w:rsid w:val="007D791B"/>
    <w:rsid w:val="007D7CD5"/>
    <w:rsid w:val="007D7D45"/>
    <w:rsid w:val="007E132E"/>
    <w:rsid w:val="007E1772"/>
    <w:rsid w:val="007E19CF"/>
    <w:rsid w:val="007E42D0"/>
    <w:rsid w:val="007E55A6"/>
    <w:rsid w:val="007E5FB9"/>
    <w:rsid w:val="007E7AD1"/>
    <w:rsid w:val="007F0270"/>
    <w:rsid w:val="007F1DE7"/>
    <w:rsid w:val="007F1F72"/>
    <w:rsid w:val="007F2684"/>
    <w:rsid w:val="007F4F97"/>
    <w:rsid w:val="007F5BCF"/>
    <w:rsid w:val="007F6175"/>
    <w:rsid w:val="007F78D6"/>
    <w:rsid w:val="007F7D32"/>
    <w:rsid w:val="00800561"/>
    <w:rsid w:val="00800E16"/>
    <w:rsid w:val="008025ED"/>
    <w:rsid w:val="008031EA"/>
    <w:rsid w:val="0080495E"/>
    <w:rsid w:val="008061F8"/>
    <w:rsid w:val="008063C8"/>
    <w:rsid w:val="008067E3"/>
    <w:rsid w:val="008072DB"/>
    <w:rsid w:val="00807A5C"/>
    <w:rsid w:val="0081098E"/>
    <w:rsid w:val="00813248"/>
    <w:rsid w:val="008134E1"/>
    <w:rsid w:val="00817AEF"/>
    <w:rsid w:val="00820866"/>
    <w:rsid w:val="00820BE9"/>
    <w:rsid w:val="0082136A"/>
    <w:rsid w:val="008224C8"/>
    <w:rsid w:val="00822F51"/>
    <w:rsid w:val="00822F8A"/>
    <w:rsid w:val="008238F9"/>
    <w:rsid w:val="0082418B"/>
    <w:rsid w:val="008248D3"/>
    <w:rsid w:val="00825662"/>
    <w:rsid w:val="00825BC6"/>
    <w:rsid w:val="00827F53"/>
    <w:rsid w:val="0083120B"/>
    <w:rsid w:val="00831F3D"/>
    <w:rsid w:val="00835A66"/>
    <w:rsid w:val="00837496"/>
    <w:rsid w:val="0083797B"/>
    <w:rsid w:val="00837B4E"/>
    <w:rsid w:val="00843D63"/>
    <w:rsid w:val="008447A3"/>
    <w:rsid w:val="00845193"/>
    <w:rsid w:val="00846087"/>
    <w:rsid w:val="00846938"/>
    <w:rsid w:val="00847B71"/>
    <w:rsid w:val="00851D82"/>
    <w:rsid w:val="0085497B"/>
    <w:rsid w:val="00854E8A"/>
    <w:rsid w:val="00856AA7"/>
    <w:rsid w:val="008570B6"/>
    <w:rsid w:val="00860F00"/>
    <w:rsid w:val="00860F40"/>
    <w:rsid w:val="00861335"/>
    <w:rsid w:val="00861555"/>
    <w:rsid w:val="00861E93"/>
    <w:rsid w:val="008639C9"/>
    <w:rsid w:val="00864E48"/>
    <w:rsid w:val="00866714"/>
    <w:rsid w:val="00866747"/>
    <w:rsid w:val="00866818"/>
    <w:rsid w:val="0087020A"/>
    <w:rsid w:val="00871A7D"/>
    <w:rsid w:val="00872BCA"/>
    <w:rsid w:val="00873E0A"/>
    <w:rsid w:val="00874843"/>
    <w:rsid w:val="00875572"/>
    <w:rsid w:val="008759FB"/>
    <w:rsid w:val="00876280"/>
    <w:rsid w:val="00876354"/>
    <w:rsid w:val="00876D83"/>
    <w:rsid w:val="00877E76"/>
    <w:rsid w:val="00880D6F"/>
    <w:rsid w:val="00881A3F"/>
    <w:rsid w:val="00882024"/>
    <w:rsid w:val="00882BC8"/>
    <w:rsid w:val="00883157"/>
    <w:rsid w:val="00883CB1"/>
    <w:rsid w:val="00884D79"/>
    <w:rsid w:val="0088531C"/>
    <w:rsid w:val="0088566C"/>
    <w:rsid w:val="00887232"/>
    <w:rsid w:val="008916E0"/>
    <w:rsid w:val="00895657"/>
    <w:rsid w:val="00896AEC"/>
    <w:rsid w:val="008A1B58"/>
    <w:rsid w:val="008A1F37"/>
    <w:rsid w:val="008A2AB8"/>
    <w:rsid w:val="008A5DCC"/>
    <w:rsid w:val="008A6F45"/>
    <w:rsid w:val="008A76F3"/>
    <w:rsid w:val="008B1D5B"/>
    <w:rsid w:val="008B2DB1"/>
    <w:rsid w:val="008B4B2F"/>
    <w:rsid w:val="008B5574"/>
    <w:rsid w:val="008B58E5"/>
    <w:rsid w:val="008B599D"/>
    <w:rsid w:val="008B5E17"/>
    <w:rsid w:val="008B6AEC"/>
    <w:rsid w:val="008C07CF"/>
    <w:rsid w:val="008C11F6"/>
    <w:rsid w:val="008C16F4"/>
    <w:rsid w:val="008C31B8"/>
    <w:rsid w:val="008C508E"/>
    <w:rsid w:val="008C5436"/>
    <w:rsid w:val="008C549D"/>
    <w:rsid w:val="008C5A53"/>
    <w:rsid w:val="008C5B1B"/>
    <w:rsid w:val="008C66A2"/>
    <w:rsid w:val="008D0938"/>
    <w:rsid w:val="008D0A5B"/>
    <w:rsid w:val="008D1939"/>
    <w:rsid w:val="008D2169"/>
    <w:rsid w:val="008D375F"/>
    <w:rsid w:val="008D55A7"/>
    <w:rsid w:val="008D5910"/>
    <w:rsid w:val="008D6159"/>
    <w:rsid w:val="008D6308"/>
    <w:rsid w:val="008D6DF9"/>
    <w:rsid w:val="008D7C8E"/>
    <w:rsid w:val="008D7D17"/>
    <w:rsid w:val="008E29B7"/>
    <w:rsid w:val="008E2AD0"/>
    <w:rsid w:val="008E34D8"/>
    <w:rsid w:val="008E392F"/>
    <w:rsid w:val="008E3B27"/>
    <w:rsid w:val="008E3D4D"/>
    <w:rsid w:val="008E4447"/>
    <w:rsid w:val="008E4AC5"/>
    <w:rsid w:val="008E4F8E"/>
    <w:rsid w:val="008E54B0"/>
    <w:rsid w:val="008E5F68"/>
    <w:rsid w:val="008F2AC0"/>
    <w:rsid w:val="008F3BE7"/>
    <w:rsid w:val="008F5CEE"/>
    <w:rsid w:val="008F6100"/>
    <w:rsid w:val="00900F99"/>
    <w:rsid w:val="00902291"/>
    <w:rsid w:val="00903698"/>
    <w:rsid w:val="00903976"/>
    <w:rsid w:val="009052E4"/>
    <w:rsid w:val="00906C14"/>
    <w:rsid w:val="009101D3"/>
    <w:rsid w:val="0091178A"/>
    <w:rsid w:val="0091261A"/>
    <w:rsid w:val="00914E7E"/>
    <w:rsid w:val="00915666"/>
    <w:rsid w:val="0091620C"/>
    <w:rsid w:val="00917D98"/>
    <w:rsid w:val="00920FF5"/>
    <w:rsid w:val="00921A49"/>
    <w:rsid w:val="00922B8F"/>
    <w:rsid w:val="0092489B"/>
    <w:rsid w:val="00924B7F"/>
    <w:rsid w:val="00926033"/>
    <w:rsid w:val="009260BD"/>
    <w:rsid w:val="00926945"/>
    <w:rsid w:val="00926FA9"/>
    <w:rsid w:val="009308BB"/>
    <w:rsid w:val="00931BC5"/>
    <w:rsid w:val="009335F1"/>
    <w:rsid w:val="00933BC0"/>
    <w:rsid w:val="00936603"/>
    <w:rsid w:val="00936DDE"/>
    <w:rsid w:val="00937A70"/>
    <w:rsid w:val="00942CED"/>
    <w:rsid w:val="00945DB6"/>
    <w:rsid w:val="00945FF9"/>
    <w:rsid w:val="00946A85"/>
    <w:rsid w:val="00951E95"/>
    <w:rsid w:val="009522AC"/>
    <w:rsid w:val="009562F5"/>
    <w:rsid w:val="00957633"/>
    <w:rsid w:val="00960C1D"/>
    <w:rsid w:val="00960CD8"/>
    <w:rsid w:val="00960DCB"/>
    <w:rsid w:val="00961D57"/>
    <w:rsid w:val="00963CD4"/>
    <w:rsid w:val="009641C6"/>
    <w:rsid w:val="00965468"/>
    <w:rsid w:val="009654D9"/>
    <w:rsid w:val="0096604C"/>
    <w:rsid w:val="009662C4"/>
    <w:rsid w:val="009679D5"/>
    <w:rsid w:val="00970073"/>
    <w:rsid w:val="00970A8E"/>
    <w:rsid w:val="00972134"/>
    <w:rsid w:val="00972875"/>
    <w:rsid w:val="00972D98"/>
    <w:rsid w:val="009739B6"/>
    <w:rsid w:val="00975C4D"/>
    <w:rsid w:val="009775C4"/>
    <w:rsid w:val="0098022A"/>
    <w:rsid w:val="00980E67"/>
    <w:rsid w:val="009816A7"/>
    <w:rsid w:val="009819B4"/>
    <w:rsid w:val="00983562"/>
    <w:rsid w:val="00984D22"/>
    <w:rsid w:val="009859B1"/>
    <w:rsid w:val="00985B32"/>
    <w:rsid w:val="00987BB8"/>
    <w:rsid w:val="009916EC"/>
    <w:rsid w:val="0099180F"/>
    <w:rsid w:val="00991880"/>
    <w:rsid w:val="009927D3"/>
    <w:rsid w:val="0099359A"/>
    <w:rsid w:val="009938BF"/>
    <w:rsid w:val="009A33C6"/>
    <w:rsid w:val="009A33CF"/>
    <w:rsid w:val="009A3B56"/>
    <w:rsid w:val="009A40E1"/>
    <w:rsid w:val="009A589A"/>
    <w:rsid w:val="009A722B"/>
    <w:rsid w:val="009B0027"/>
    <w:rsid w:val="009B032E"/>
    <w:rsid w:val="009B0680"/>
    <w:rsid w:val="009B1AF5"/>
    <w:rsid w:val="009B2759"/>
    <w:rsid w:val="009B3525"/>
    <w:rsid w:val="009B3B1A"/>
    <w:rsid w:val="009B3EBB"/>
    <w:rsid w:val="009B6042"/>
    <w:rsid w:val="009B6055"/>
    <w:rsid w:val="009B6537"/>
    <w:rsid w:val="009B71D2"/>
    <w:rsid w:val="009B7A97"/>
    <w:rsid w:val="009C1489"/>
    <w:rsid w:val="009C1735"/>
    <w:rsid w:val="009C18B6"/>
    <w:rsid w:val="009C1B87"/>
    <w:rsid w:val="009C2901"/>
    <w:rsid w:val="009C2C03"/>
    <w:rsid w:val="009C3435"/>
    <w:rsid w:val="009C3954"/>
    <w:rsid w:val="009C3A35"/>
    <w:rsid w:val="009C4804"/>
    <w:rsid w:val="009C4FEC"/>
    <w:rsid w:val="009C690F"/>
    <w:rsid w:val="009C7D65"/>
    <w:rsid w:val="009D0B6C"/>
    <w:rsid w:val="009D178C"/>
    <w:rsid w:val="009D2727"/>
    <w:rsid w:val="009D3B11"/>
    <w:rsid w:val="009D3C89"/>
    <w:rsid w:val="009D4C8C"/>
    <w:rsid w:val="009D4DD8"/>
    <w:rsid w:val="009D5B19"/>
    <w:rsid w:val="009D7CEF"/>
    <w:rsid w:val="009D7ED9"/>
    <w:rsid w:val="009E19F7"/>
    <w:rsid w:val="009E1D4D"/>
    <w:rsid w:val="009E25D6"/>
    <w:rsid w:val="009E360B"/>
    <w:rsid w:val="009E5206"/>
    <w:rsid w:val="009E6C3B"/>
    <w:rsid w:val="009F3BBE"/>
    <w:rsid w:val="009F3EDD"/>
    <w:rsid w:val="009F53B9"/>
    <w:rsid w:val="009F6D41"/>
    <w:rsid w:val="009F7199"/>
    <w:rsid w:val="00A02D6F"/>
    <w:rsid w:val="00A03B8F"/>
    <w:rsid w:val="00A05419"/>
    <w:rsid w:val="00A0571B"/>
    <w:rsid w:val="00A06A99"/>
    <w:rsid w:val="00A06BB5"/>
    <w:rsid w:val="00A073DE"/>
    <w:rsid w:val="00A07C9A"/>
    <w:rsid w:val="00A12BB1"/>
    <w:rsid w:val="00A142F3"/>
    <w:rsid w:val="00A148FE"/>
    <w:rsid w:val="00A16884"/>
    <w:rsid w:val="00A175F6"/>
    <w:rsid w:val="00A200D0"/>
    <w:rsid w:val="00A22654"/>
    <w:rsid w:val="00A228D8"/>
    <w:rsid w:val="00A23149"/>
    <w:rsid w:val="00A24AB4"/>
    <w:rsid w:val="00A24F9C"/>
    <w:rsid w:val="00A25D50"/>
    <w:rsid w:val="00A25FC7"/>
    <w:rsid w:val="00A2610F"/>
    <w:rsid w:val="00A2632C"/>
    <w:rsid w:val="00A277CF"/>
    <w:rsid w:val="00A31134"/>
    <w:rsid w:val="00A348FE"/>
    <w:rsid w:val="00A35DEB"/>
    <w:rsid w:val="00A36082"/>
    <w:rsid w:val="00A360AC"/>
    <w:rsid w:val="00A360AD"/>
    <w:rsid w:val="00A360E5"/>
    <w:rsid w:val="00A3670B"/>
    <w:rsid w:val="00A378DC"/>
    <w:rsid w:val="00A37F34"/>
    <w:rsid w:val="00A40D0D"/>
    <w:rsid w:val="00A41EF4"/>
    <w:rsid w:val="00A4216D"/>
    <w:rsid w:val="00A445DE"/>
    <w:rsid w:val="00A44C9F"/>
    <w:rsid w:val="00A45CA4"/>
    <w:rsid w:val="00A461E4"/>
    <w:rsid w:val="00A46C89"/>
    <w:rsid w:val="00A510C7"/>
    <w:rsid w:val="00A51172"/>
    <w:rsid w:val="00A53192"/>
    <w:rsid w:val="00A534BC"/>
    <w:rsid w:val="00A54306"/>
    <w:rsid w:val="00A54BC4"/>
    <w:rsid w:val="00A54EB0"/>
    <w:rsid w:val="00A55F9F"/>
    <w:rsid w:val="00A60518"/>
    <w:rsid w:val="00A60956"/>
    <w:rsid w:val="00A609C5"/>
    <w:rsid w:val="00A60CC3"/>
    <w:rsid w:val="00A60EB4"/>
    <w:rsid w:val="00A61104"/>
    <w:rsid w:val="00A62D15"/>
    <w:rsid w:val="00A65F55"/>
    <w:rsid w:val="00A66EA1"/>
    <w:rsid w:val="00A6713E"/>
    <w:rsid w:val="00A6733C"/>
    <w:rsid w:val="00A67F4D"/>
    <w:rsid w:val="00A70509"/>
    <w:rsid w:val="00A714A0"/>
    <w:rsid w:val="00A7276F"/>
    <w:rsid w:val="00A72AC0"/>
    <w:rsid w:val="00A807E6"/>
    <w:rsid w:val="00A837ED"/>
    <w:rsid w:val="00A83BFD"/>
    <w:rsid w:val="00A9014E"/>
    <w:rsid w:val="00A90E5E"/>
    <w:rsid w:val="00A91083"/>
    <w:rsid w:val="00A91544"/>
    <w:rsid w:val="00A91D7A"/>
    <w:rsid w:val="00A92B94"/>
    <w:rsid w:val="00A930C7"/>
    <w:rsid w:val="00A93786"/>
    <w:rsid w:val="00A947E3"/>
    <w:rsid w:val="00A94C69"/>
    <w:rsid w:val="00A94F13"/>
    <w:rsid w:val="00A95DC9"/>
    <w:rsid w:val="00A96678"/>
    <w:rsid w:val="00A971DB"/>
    <w:rsid w:val="00AA032F"/>
    <w:rsid w:val="00AA07F6"/>
    <w:rsid w:val="00AA3CBA"/>
    <w:rsid w:val="00AA4BA0"/>
    <w:rsid w:val="00AA684E"/>
    <w:rsid w:val="00AA6E62"/>
    <w:rsid w:val="00AB0870"/>
    <w:rsid w:val="00AB2B1E"/>
    <w:rsid w:val="00AB3466"/>
    <w:rsid w:val="00AB7768"/>
    <w:rsid w:val="00AB7E62"/>
    <w:rsid w:val="00AC06DE"/>
    <w:rsid w:val="00AC160C"/>
    <w:rsid w:val="00AC2AE0"/>
    <w:rsid w:val="00AC2BA2"/>
    <w:rsid w:val="00AC38AE"/>
    <w:rsid w:val="00AD2D0F"/>
    <w:rsid w:val="00AD3372"/>
    <w:rsid w:val="00AD4CDC"/>
    <w:rsid w:val="00AD62DC"/>
    <w:rsid w:val="00AD71D8"/>
    <w:rsid w:val="00AD7BEF"/>
    <w:rsid w:val="00AE07EA"/>
    <w:rsid w:val="00AE10B2"/>
    <w:rsid w:val="00AE144D"/>
    <w:rsid w:val="00AE1710"/>
    <w:rsid w:val="00AE2DE5"/>
    <w:rsid w:val="00AE373E"/>
    <w:rsid w:val="00AE418F"/>
    <w:rsid w:val="00AE55DB"/>
    <w:rsid w:val="00AE63D3"/>
    <w:rsid w:val="00AE7094"/>
    <w:rsid w:val="00AE7C41"/>
    <w:rsid w:val="00AF3194"/>
    <w:rsid w:val="00AF3C30"/>
    <w:rsid w:val="00AF4190"/>
    <w:rsid w:val="00AF4C8D"/>
    <w:rsid w:val="00AF561C"/>
    <w:rsid w:val="00AF6E36"/>
    <w:rsid w:val="00AF7C0E"/>
    <w:rsid w:val="00B0054C"/>
    <w:rsid w:val="00B01CBD"/>
    <w:rsid w:val="00B020E5"/>
    <w:rsid w:val="00B02A84"/>
    <w:rsid w:val="00B06A45"/>
    <w:rsid w:val="00B06F38"/>
    <w:rsid w:val="00B12080"/>
    <w:rsid w:val="00B1267A"/>
    <w:rsid w:val="00B129BD"/>
    <w:rsid w:val="00B12F1C"/>
    <w:rsid w:val="00B13664"/>
    <w:rsid w:val="00B15623"/>
    <w:rsid w:val="00B17654"/>
    <w:rsid w:val="00B2006F"/>
    <w:rsid w:val="00B21043"/>
    <w:rsid w:val="00B210D2"/>
    <w:rsid w:val="00B23BF4"/>
    <w:rsid w:val="00B24683"/>
    <w:rsid w:val="00B25E5D"/>
    <w:rsid w:val="00B264F7"/>
    <w:rsid w:val="00B269F6"/>
    <w:rsid w:val="00B30AA4"/>
    <w:rsid w:val="00B30E93"/>
    <w:rsid w:val="00B311FA"/>
    <w:rsid w:val="00B32147"/>
    <w:rsid w:val="00B32518"/>
    <w:rsid w:val="00B32E03"/>
    <w:rsid w:val="00B33415"/>
    <w:rsid w:val="00B3673B"/>
    <w:rsid w:val="00B369DB"/>
    <w:rsid w:val="00B408B9"/>
    <w:rsid w:val="00B41EEA"/>
    <w:rsid w:val="00B42074"/>
    <w:rsid w:val="00B421F8"/>
    <w:rsid w:val="00B4252E"/>
    <w:rsid w:val="00B44414"/>
    <w:rsid w:val="00B453B9"/>
    <w:rsid w:val="00B47931"/>
    <w:rsid w:val="00B522A0"/>
    <w:rsid w:val="00B5345A"/>
    <w:rsid w:val="00B535C9"/>
    <w:rsid w:val="00B53AF0"/>
    <w:rsid w:val="00B57DE0"/>
    <w:rsid w:val="00B60555"/>
    <w:rsid w:val="00B60DFF"/>
    <w:rsid w:val="00B6146A"/>
    <w:rsid w:val="00B62290"/>
    <w:rsid w:val="00B626EC"/>
    <w:rsid w:val="00B635EE"/>
    <w:rsid w:val="00B64369"/>
    <w:rsid w:val="00B645FE"/>
    <w:rsid w:val="00B64723"/>
    <w:rsid w:val="00B66EE3"/>
    <w:rsid w:val="00B67DDC"/>
    <w:rsid w:val="00B706E3"/>
    <w:rsid w:val="00B70762"/>
    <w:rsid w:val="00B71735"/>
    <w:rsid w:val="00B73A22"/>
    <w:rsid w:val="00B757F0"/>
    <w:rsid w:val="00B75CC8"/>
    <w:rsid w:val="00B77ED3"/>
    <w:rsid w:val="00B81EFC"/>
    <w:rsid w:val="00B8306A"/>
    <w:rsid w:val="00B844F2"/>
    <w:rsid w:val="00B84E81"/>
    <w:rsid w:val="00B86228"/>
    <w:rsid w:val="00B87A50"/>
    <w:rsid w:val="00B910F4"/>
    <w:rsid w:val="00B9146C"/>
    <w:rsid w:val="00B93165"/>
    <w:rsid w:val="00B94618"/>
    <w:rsid w:val="00B950F3"/>
    <w:rsid w:val="00B95F6B"/>
    <w:rsid w:val="00B97113"/>
    <w:rsid w:val="00BA0332"/>
    <w:rsid w:val="00BA1196"/>
    <w:rsid w:val="00BA1A92"/>
    <w:rsid w:val="00BA479B"/>
    <w:rsid w:val="00BA48E8"/>
    <w:rsid w:val="00BA7692"/>
    <w:rsid w:val="00BA771A"/>
    <w:rsid w:val="00BB0A59"/>
    <w:rsid w:val="00BB0D91"/>
    <w:rsid w:val="00BB2BC6"/>
    <w:rsid w:val="00BB37E7"/>
    <w:rsid w:val="00BB4EFA"/>
    <w:rsid w:val="00BB5C8E"/>
    <w:rsid w:val="00BB7104"/>
    <w:rsid w:val="00BB7A28"/>
    <w:rsid w:val="00BC123D"/>
    <w:rsid w:val="00BC2122"/>
    <w:rsid w:val="00BC2CC0"/>
    <w:rsid w:val="00BC2CE7"/>
    <w:rsid w:val="00BC502D"/>
    <w:rsid w:val="00BC5038"/>
    <w:rsid w:val="00BC54E5"/>
    <w:rsid w:val="00BC6911"/>
    <w:rsid w:val="00BC7E9F"/>
    <w:rsid w:val="00BD0FC5"/>
    <w:rsid w:val="00BD147B"/>
    <w:rsid w:val="00BD1799"/>
    <w:rsid w:val="00BD18AC"/>
    <w:rsid w:val="00BD2257"/>
    <w:rsid w:val="00BD573A"/>
    <w:rsid w:val="00BD5767"/>
    <w:rsid w:val="00BD620B"/>
    <w:rsid w:val="00BD65FE"/>
    <w:rsid w:val="00BD69DD"/>
    <w:rsid w:val="00BE0FD8"/>
    <w:rsid w:val="00BE2760"/>
    <w:rsid w:val="00BE3EB9"/>
    <w:rsid w:val="00BE41C8"/>
    <w:rsid w:val="00BE4F24"/>
    <w:rsid w:val="00BE6175"/>
    <w:rsid w:val="00BE6D3A"/>
    <w:rsid w:val="00BE7CDE"/>
    <w:rsid w:val="00BF055F"/>
    <w:rsid w:val="00BF1BAB"/>
    <w:rsid w:val="00BF1E0F"/>
    <w:rsid w:val="00BF46C0"/>
    <w:rsid w:val="00BF6583"/>
    <w:rsid w:val="00BF7628"/>
    <w:rsid w:val="00BF7808"/>
    <w:rsid w:val="00BF7E88"/>
    <w:rsid w:val="00C006C4"/>
    <w:rsid w:val="00C01331"/>
    <w:rsid w:val="00C030F7"/>
    <w:rsid w:val="00C04649"/>
    <w:rsid w:val="00C04A92"/>
    <w:rsid w:val="00C051E5"/>
    <w:rsid w:val="00C10124"/>
    <w:rsid w:val="00C10435"/>
    <w:rsid w:val="00C118C9"/>
    <w:rsid w:val="00C11B4A"/>
    <w:rsid w:val="00C131E4"/>
    <w:rsid w:val="00C132EF"/>
    <w:rsid w:val="00C13C8A"/>
    <w:rsid w:val="00C15417"/>
    <w:rsid w:val="00C215F7"/>
    <w:rsid w:val="00C220E2"/>
    <w:rsid w:val="00C22C3D"/>
    <w:rsid w:val="00C22E84"/>
    <w:rsid w:val="00C23C3B"/>
    <w:rsid w:val="00C24045"/>
    <w:rsid w:val="00C2507B"/>
    <w:rsid w:val="00C258D2"/>
    <w:rsid w:val="00C25CAD"/>
    <w:rsid w:val="00C2636B"/>
    <w:rsid w:val="00C2726B"/>
    <w:rsid w:val="00C304BF"/>
    <w:rsid w:val="00C3298D"/>
    <w:rsid w:val="00C32B1F"/>
    <w:rsid w:val="00C33733"/>
    <w:rsid w:val="00C34257"/>
    <w:rsid w:val="00C349E7"/>
    <w:rsid w:val="00C361B4"/>
    <w:rsid w:val="00C37472"/>
    <w:rsid w:val="00C401FA"/>
    <w:rsid w:val="00C41132"/>
    <w:rsid w:val="00C41EA4"/>
    <w:rsid w:val="00C41EF6"/>
    <w:rsid w:val="00C42A72"/>
    <w:rsid w:val="00C4447E"/>
    <w:rsid w:val="00C46413"/>
    <w:rsid w:val="00C5041B"/>
    <w:rsid w:val="00C51D5D"/>
    <w:rsid w:val="00C52096"/>
    <w:rsid w:val="00C53951"/>
    <w:rsid w:val="00C53D35"/>
    <w:rsid w:val="00C54D82"/>
    <w:rsid w:val="00C55AB5"/>
    <w:rsid w:val="00C56364"/>
    <w:rsid w:val="00C56A20"/>
    <w:rsid w:val="00C57240"/>
    <w:rsid w:val="00C57DAF"/>
    <w:rsid w:val="00C608E2"/>
    <w:rsid w:val="00C60A37"/>
    <w:rsid w:val="00C61099"/>
    <w:rsid w:val="00C619AA"/>
    <w:rsid w:val="00C62E34"/>
    <w:rsid w:val="00C62EEB"/>
    <w:rsid w:val="00C634A0"/>
    <w:rsid w:val="00C64695"/>
    <w:rsid w:val="00C64837"/>
    <w:rsid w:val="00C64CC3"/>
    <w:rsid w:val="00C675BA"/>
    <w:rsid w:val="00C675CD"/>
    <w:rsid w:val="00C67B96"/>
    <w:rsid w:val="00C67D68"/>
    <w:rsid w:val="00C72410"/>
    <w:rsid w:val="00C73472"/>
    <w:rsid w:val="00C742EC"/>
    <w:rsid w:val="00C74B72"/>
    <w:rsid w:val="00C77C96"/>
    <w:rsid w:val="00C80062"/>
    <w:rsid w:val="00C812E0"/>
    <w:rsid w:val="00C81388"/>
    <w:rsid w:val="00C8205E"/>
    <w:rsid w:val="00C82B21"/>
    <w:rsid w:val="00C8327E"/>
    <w:rsid w:val="00C835A5"/>
    <w:rsid w:val="00C8478D"/>
    <w:rsid w:val="00C84CE1"/>
    <w:rsid w:val="00C86B37"/>
    <w:rsid w:val="00C8762B"/>
    <w:rsid w:val="00C922BB"/>
    <w:rsid w:val="00C92851"/>
    <w:rsid w:val="00C937CD"/>
    <w:rsid w:val="00C93A34"/>
    <w:rsid w:val="00C94FAE"/>
    <w:rsid w:val="00C9591D"/>
    <w:rsid w:val="00C969AE"/>
    <w:rsid w:val="00C97D62"/>
    <w:rsid w:val="00CA1446"/>
    <w:rsid w:val="00CA162C"/>
    <w:rsid w:val="00CA1AC8"/>
    <w:rsid w:val="00CA2F9C"/>
    <w:rsid w:val="00CA3EF9"/>
    <w:rsid w:val="00CA5019"/>
    <w:rsid w:val="00CA59A9"/>
    <w:rsid w:val="00CA5A01"/>
    <w:rsid w:val="00CA6092"/>
    <w:rsid w:val="00CA654C"/>
    <w:rsid w:val="00CA66E2"/>
    <w:rsid w:val="00CA773E"/>
    <w:rsid w:val="00CB0762"/>
    <w:rsid w:val="00CB2CE6"/>
    <w:rsid w:val="00CB3EA4"/>
    <w:rsid w:val="00CB430F"/>
    <w:rsid w:val="00CB4EFF"/>
    <w:rsid w:val="00CB52E8"/>
    <w:rsid w:val="00CB626F"/>
    <w:rsid w:val="00CC2252"/>
    <w:rsid w:val="00CC241B"/>
    <w:rsid w:val="00CC261B"/>
    <w:rsid w:val="00CC3E43"/>
    <w:rsid w:val="00CC5FE4"/>
    <w:rsid w:val="00CC5FFC"/>
    <w:rsid w:val="00CD05A0"/>
    <w:rsid w:val="00CD1900"/>
    <w:rsid w:val="00CD3CD1"/>
    <w:rsid w:val="00CD42F7"/>
    <w:rsid w:val="00CD5525"/>
    <w:rsid w:val="00CD5D3C"/>
    <w:rsid w:val="00CD6128"/>
    <w:rsid w:val="00CD628F"/>
    <w:rsid w:val="00CD6DD1"/>
    <w:rsid w:val="00CD7553"/>
    <w:rsid w:val="00CD76A1"/>
    <w:rsid w:val="00CE0425"/>
    <w:rsid w:val="00CE345C"/>
    <w:rsid w:val="00CE45E6"/>
    <w:rsid w:val="00CE568F"/>
    <w:rsid w:val="00CE7C7E"/>
    <w:rsid w:val="00CF3DB6"/>
    <w:rsid w:val="00CF418B"/>
    <w:rsid w:val="00CF43B8"/>
    <w:rsid w:val="00CF4A17"/>
    <w:rsid w:val="00CF4AB3"/>
    <w:rsid w:val="00CF4C12"/>
    <w:rsid w:val="00CF5441"/>
    <w:rsid w:val="00CF6050"/>
    <w:rsid w:val="00D00D75"/>
    <w:rsid w:val="00D0191F"/>
    <w:rsid w:val="00D02325"/>
    <w:rsid w:val="00D03110"/>
    <w:rsid w:val="00D0405F"/>
    <w:rsid w:val="00D04208"/>
    <w:rsid w:val="00D10F23"/>
    <w:rsid w:val="00D11A2B"/>
    <w:rsid w:val="00D11E02"/>
    <w:rsid w:val="00D12153"/>
    <w:rsid w:val="00D1218E"/>
    <w:rsid w:val="00D132D7"/>
    <w:rsid w:val="00D13BAA"/>
    <w:rsid w:val="00D147A1"/>
    <w:rsid w:val="00D15582"/>
    <w:rsid w:val="00D163A7"/>
    <w:rsid w:val="00D17850"/>
    <w:rsid w:val="00D17908"/>
    <w:rsid w:val="00D20C7C"/>
    <w:rsid w:val="00D20F36"/>
    <w:rsid w:val="00D24F2A"/>
    <w:rsid w:val="00D25BA4"/>
    <w:rsid w:val="00D25C7E"/>
    <w:rsid w:val="00D26A68"/>
    <w:rsid w:val="00D32D83"/>
    <w:rsid w:val="00D33148"/>
    <w:rsid w:val="00D33625"/>
    <w:rsid w:val="00D34038"/>
    <w:rsid w:val="00D34C87"/>
    <w:rsid w:val="00D350C9"/>
    <w:rsid w:val="00D362D2"/>
    <w:rsid w:val="00D362D8"/>
    <w:rsid w:val="00D36354"/>
    <w:rsid w:val="00D37C97"/>
    <w:rsid w:val="00D433A6"/>
    <w:rsid w:val="00D438EB"/>
    <w:rsid w:val="00D44124"/>
    <w:rsid w:val="00D46017"/>
    <w:rsid w:val="00D472E8"/>
    <w:rsid w:val="00D50DED"/>
    <w:rsid w:val="00D53741"/>
    <w:rsid w:val="00D54232"/>
    <w:rsid w:val="00D54264"/>
    <w:rsid w:val="00D54E39"/>
    <w:rsid w:val="00D5554A"/>
    <w:rsid w:val="00D55F52"/>
    <w:rsid w:val="00D571BB"/>
    <w:rsid w:val="00D6057B"/>
    <w:rsid w:val="00D612A6"/>
    <w:rsid w:val="00D615C7"/>
    <w:rsid w:val="00D61678"/>
    <w:rsid w:val="00D6172A"/>
    <w:rsid w:val="00D62700"/>
    <w:rsid w:val="00D62821"/>
    <w:rsid w:val="00D62E7B"/>
    <w:rsid w:val="00D62F37"/>
    <w:rsid w:val="00D63130"/>
    <w:rsid w:val="00D63413"/>
    <w:rsid w:val="00D65F51"/>
    <w:rsid w:val="00D66623"/>
    <w:rsid w:val="00D66718"/>
    <w:rsid w:val="00D6684B"/>
    <w:rsid w:val="00D670BE"/>
    <w:rsid w:val="00D672CC"/>
    <w:rsid w:val="00D672E1"/>
    <w:rsid w:val="00D70EB1"/>
    <w:rsid w:val="00D728CF"/>
    <w:rsid w:val="00D72ABC"/>
    <w:rsid w:val="00D73FEE"/>
    <w:rsid w:val="00D740D7"/>
    <w:rsid w:val="00D74830"/>
    <w:rsid w:val="00D74B87"/>
    <w:rsid w:val="00D76357"/>
    <w:rsid w:val="00D766C2"/>
    <w:rsid w:val="00D7675D"/>
    <w:rsid w:val="00D76EAF"/>
    <w:rsid w:val="00D77267"/>
    <w:rsid w:val="00D773C1"/>
    <w:rsid w:val="00D8476A"/>
    <w:rsid w:val="00D84C4A"/>
    <w:rsid w:val="00D87385"/>
    <w:rsid w:val="00D91557"/>
    <w:rsid w:val="00D91B32"/>
    <w:rsid w:val="00D91C0A"/>
    <w:rsid w:val="00D92240"/>
    <w:rsid w:val="00D924C1"/>
    <w:rsid w:val="00D92F69"/>
    <w:rsid w:val="00D94556"/>
    <w:rsid w:val="00D96443"/>
    <w:rsid w:val="00DA1A0B"/>
    <w:rsid w:val="00DA2C35"/>
    <w:rsid w:val="00DA2F22"/>
    <w:rsid w:val="00DA36D5"/>
    <w:rsid w:val="00DA3A03"/>
    <w:rsid w:val="00DA54AD"/>
    <w:rsid w:val="00DA6A7A"/>
    <w:rsid w:val="00DA74D0"/>
    <w:rsid w:val="00DA7B0F"/>
    <w:rsid w:val="00DA7ED5"/>
    <w:rsid w:val="00DB08D5"/>
    <w:rsid w:val="00DB19DF"/>
    <w:rsid w:val="00DB1AF1"/>
    <w:rsid w:val="00DB2EAB"/>
    <w:rsid w:val="00DB3086"/>
    <w:rsid w:val="00DB457C"/>
    <w:rsid w:val="00DB74C0"/>
    <w:rsid w:val="00DC0FE6"/>
    <w:rsid w:val="00DC3B0C"/>
    <w:rsid w:val="00DC4849"/>
    <w:rsid w:val="00DC5245"/>
    <w:rsid w:val="00DC5286"/>
    <w:rsid w:val="00DC6F8C"/>
    <w:rsid w:val="00DC7980"/>
    <w:rsid w:val="00DD0469"/>
    <w:rsid w:val="00DD0897"/>
    <w:rsid w:val="00DD0DD4"/>
    <w:rsid w:val="00DD269A"/>
    <w:rsid w:val="00DD2B6F"/>
    <w:rsid w:val="00DD2EBA"/>
    <w:rsid w:val="00DD3C27"/>
    <w:rsid w:val="00DD52E9"/>
    <w:rsid w:val="00DD5361"/>
    <w:rsid w:val="00DD5B0B"/>
    <w:rsid w:val="00DD60DD"/>
    <w:rsid w:val="00DD636D"/>
    <w:rsid w:val="00DD66CB"/>
    <w:rsid w:val="00DD6CB1"/>
    <w:rsid w:val="00DD73F3"/>
    <w:rsid w:val="00DE0BE2"/>
    <w:rsid w:val="00DE1281"/>
    <w:rsid w:val="00DE1EAC"/>
    <w:rsid w:val="00DE20CB"/>
    <w:rsid w:val="00DE31C2"/>
    <w:rsid w:val="00DE38FD"/>
    <w:rsid w:val="00DE481B"/>
    <w:rsid w:val="00DE4A1B"/>
    <w:rsid w:val="00DE5086"/>
    <w:rsid w:val="00DE66E6"/>
    <w:rsid w:val="00DE6B37"/>
    <w:rsid w:val="00DE781F"/>
    <w:rsid w:val="00DE7C54"/>
    <w:rsid w:val="00DF0BC2"/>
    <w:rsid w:val="00DF15A0"/>
    <w:rsid w:val="00DF3620"/>
    <w:rsid w:val="00DF47DC"/>
    <w:rsid w:val="00DF50F0"/>
    <w:rsid w:val="00DF5670"/>
    <w:rsid w:val="00DF56A3"/>
    <w:rsid w:val="00DF5FF5"/>
    <w:rsid w:val="00DF6050"/>
    <w:rsid w:val="00DF6591"/>
    <w:rsid w:val="00E00E0E"/>
    <w:rsid w:val="00E0128B"/>
    <w:rsid w:val="00E0129F"/>
    <w:rsid w:val="00E01827"/>
    <w:rsid w:val="00E01E29"/>
    <w:rsid w:val="00E01FCE"/>
    <w:rsid w:val="00E03685"/>
    <w:rsid w:val="00E039F0"/>
    <w:rsid w:val="00E10E29"/>
    <w:rsid w:val="00E120ED"/>
    <w:rsid w:val="00E13192"/>
    <w:rsid w:val="00E13B01"/>
    <w:rsid w:val="00E14E9C"/>
    <w:rsid w:val="00E165E9"/>
    <w:rsid w:val="00E16CE6"/>
    <w:rsid w:val="00E2039D"/>
    <w:rsid w:val="00E2078B"/>
    <w:rsid w:val="00E242C2"/>
    <w:rsid w:val="00E24DE4"/>
    <w:rsid w:val="00E24F21"/>
    <w:rsid w:val="00E252BD"/>
    <w:rsid w:val="00E26854"/>
    <w:rsid w:val="00E26ACD"/>
    <w:rsid w:val="00E27457"/>
    <w:rsid w:val="00E30698"/>
    <w:rsid w:val="00E30B32"/>
    <w:rsid w:val="00E330CD"/>
    <w:rsid w:val="00E34166"/>
    <w:rsid w:val="00E34D3B"/>
    <w:rsid w:val="00E34D42"/>
    <w:rsid w:val="00E3516D"/>
    <w:rsid w:val="00E355DB"/>
    <w:rsid w:val="00E357B1"/>
    <w:rsid w:val="00E358B7"/>
    <w:rsid w:val="00E35919"/>
    <w:rsid w:val="00E371D7"/>
    <w:rsid w:val="00E3783C"/>
    <w:rsid w:val="00E4140E"/>
    <w:rsid w:val="00E41677"/>
    <w:rsid w:val="00E41962"/>
    <w:rsid w:val="00E41B66"/>
    <w:rsid w:val="00E42D4B"/>
    <w:rsid w:val="00E42E4C"/>
    <w:rsid w:val="00E430C0"/>
    <w:rsid w:val="00E435A7"/>
    <w:rsid w:val="00E45450"/>
    <w:rsid w:val="00E45498"/>
    <w:rsid w:val="00E45DC2"/>
    <w:rsid w:val="00E45EAB"/>
    <w:rsid w:val="00E46356"/>
    <w:rsid w:val="00E47BF8"/>
    <w:rsid w:val="00E47CA2"/>
    <w:rsid w:val="00E47FEE"/>
    <w:rsid w:val="00E512E3"/>
    <w:rsid w:val="00E5273E"/>
    <w:rsid w:val="00E534B8"/>
    <w:rsid w:val="00E5356A"/>
    <w:rsid w:val="00E539EB"/>
    <w:rsid w:val="00E54E6C"/>
    <w:rsid w:val="00E55615"/>
    <w:rsid w:val="00E56E92"/>
    <w:rsid w:val="00E613AE"/>
    <w:rsid w:val="00E6183D"/>
    <w:rsid w:val="00E62B83"/>
    <w:rsid w:val="00E62C3F"/>
    <w:rsid w:val="00E63A53"/>
    <w:rsid w:val="00E64F1F"/>
    <w:rsid w:val="00E65A79"/>
    <w:rsid w:val="00E65EFD"/>
    <w:rsid w:val="00E663C2"/>
    <w:rsid w:val="00E715FD"/>
    <w:rsid w:val="00E71981"/>
    <w:rsid w:val="00E72BE1"/>
    <w:rsid w:val="00E73FBC"/>
    <w:rsid w:val="00E74804"/>
    <w:rsid w:val="00E76246"/>
    <w:rsid w:val="00E772C7"/>
    <w:rsid w:val="00E77DAE"/>
    <w:rsid w:val="00E800DA"/>
    <w:rsid w:val="00E8148D"/>
    <w:rsid w:val="00E81D87"/>
    <w:rsid w:val="00E82404"/>
    <w:rsid w:val="00E87C7C"/>
    <w:rsid w:val="00E87DDE"/>
    <w:rsid w:val="00E905D2"/>
    <w:rsid w:val="00E93DB8"/>
    <w:rsid w:val="00E941A4"/>
    <w:rsid w:val="00E962B3"/>
    <w:rsid w:val="00E96F15"/>
    <w:rsid w:val="00E970E8"/>
    <w:rsid w:val="00E97C62"/>
    <w:rsid w:val="00EA1878"/>
    <w:rsid w:val="00EA1928"/>
    <w:rsid w:val="00EA2301"/>
    <w:rsid w:val="00EA41A6"/>
    <w:rsid w:val="00EA47DA"/>
    <w:rsid w:val="00EA5726"/>
    <w:rsid w:val="00EA5954"/>
    <w:rsid w:val="00EA65C8"/>
    <w:rsid w:val="00EA6EB3"/>
    <w:rsid w:val="00EA6FD7"/>
    <w:rsid w:val="00EB0448"/>
    <w:rsid w:val="00EB04BF"/>
    <w:rsid w:val="00EB0DED"/>
    <w:rsid w:val="00EB2E2A"/>
    <w:rsid w:val="00EB3E02"/>
    <w:rsid w:val="00EB4988"/>
    <w:rsid w:val="00EB4C30"/>
    <w:rsid w:val="00EB6582"/>
    <w:rsid w:val="00EB70A7"/>
    <w:rsid w:val="00EC189D"/>
    <w:rsid w:val="00EC3119"/>
    <w:rsid w:val="00EC3F20"/>
    <w:rsid w:val="00EC4DCB"/>
    <w:rsid w:val="00ED0676"/>
    <w:rsid w:val="00ED0948"/>
    <w:rsid w:val="00ED2117"/>
    <w:rsid w:val="00ED24DD"/>
    <w:rsid w:val="00ED3086"/>
    <w:rsid w:val="00ED3DB8"/>
    <w:rsid w:val="00ED5D22"/>
    <w:rsid w:val="00EE24B1"/>
    <w:rsid w:val="00EE29EB"/>
    <w:rsid w:val="00EE5358"/>
    <w:rsid w:val="00EE5C44"/>
    <w:rsid w:val="00EE630A"/>
    <w:rsid w:val="00EE6784"/>
    <w:rsid w:val="00EF1F55"/>
    <w:rsid w:val="00EF28E0"/>
    <w:rsid w:val="00EF3BF6"/>
    <w:rsid w:val="00EF4C58"/>
    <w:rsid w:val="00EF543B"/>
    <w:rsid w:val="00EF6E11"/>
    <w:rsid w:val="00F007D8"/>
    <w:rsid w:val="00F01736"/>
    <w:rsid w:val="00F029F7"/>
    <w:rsid w:val="00F02C85"/>
    <w:rsid w:val="00F057B0"/>
    <w:rsid w:val="00F068B2"/>
    <w:rsid w:val="00F07642"/>
    <w:rsid w:val="00F1003B"/>
    <w:rsid w:val="00F10DBC"/>
    <w:rsid w:val="00F117AA"/>
    <w:rsid w:val="00F14D6A"/>
    <w:rsid w:val="00F15A5C"/>
    <w:rsid w:val="00F15FDD"/>
    <w:rsid w:val="00F16D32"/>
    <w:rsid w:val="00F1790A"/>
    <w:rsid w:val="00F17F98"/>
    <w:rsid w:val="00F2077B"/>
    <w:rsid w:val="00F235D8"/>
    <w:rsid w:val="00F2363D"/>
    <w:rsid w:val="00F24057"/>
    <w:rsid w:val="00F27864"/>
    <w:rsid w:val="00F30330"/>
    <w:rsid w:val="00F316A2"/>
    <w:rsid w:val="00F3177E"/>
    <w:rsid w:val="00F350D0"/>
    <w:rsid w:val="00F35B08"/>
    <w:rsid w:val="00F36FAE"/>
    <w:rsid w:val="00F370A6"/>
    <w:rsid w:val="00F37324"/>
    <w:rsid w:val="00F3747D"/>
    <w:rsid w:val="00F40B40"/>
    <w:rsid w:val="00F40F6B"/>
    <w:rsid w:val="00F43F60"/>
    <w:rsid w:val="00F45B0B"/>
    <w:rsid w:val="00F46B14"/>
    <w:rsid w:val="00F477C6"/>
    <w:rsid w:val="00F47910"/>
    <w:rsid w:val="00F47C02"/>
    <w:rsid w:val="00F47C78"/>
    <w:rsid w:val="00F50007"/>
    <w:rsid w:val="00F53019"/>
    <w:rsid w:val="00F531AC"/>
    <w:rsid w:val="00F5389A"/>
    <w:rsid w:val="00F538AF"/>
    <w:rsid w:val="00F557CC"/>
    <w:rsid w:val="00F572F0"/>
    <w:rsid w:val="00F62217"/>
    <w:rsid w:val="00F6286F"/>
    <w:rsid w:val="00F628C6"/>
    <w:rsid w:val="00F629C4"/>
    <w:rsid w:val="00F6352E"/>
    <w:rsid w:val="00F637F4"/>
    <w:rsid w:val="00F64123"/>
    <w:rsid w:val="00F64F4F"/>
    <w:rsid w:val="00F66E2D"/>
    <w:rsid w:val="00F700D5"/>
    <w:rsid w:val="00F7082E"/>
    <w:rsid w:val="00F708AC"/>
    <w:rsid w:val="00F70F80"/>
    <w:rsid w:val="00F71372"/>
    <w:rsid w:val="00F716D0"/>
    <w:rsid w:val="00F71CC6"/>
    <w:rsid w:val="00F769F1"/>
    <w:rsid w:val="00F775B0"/>
    <w:rsid w:val="00F82DAB"/>
    <w:rsid w:val="00F843B3"/>
    <w:rsid w:val="00F84562"/>
    <w:rsid w:val="00F861B9"/>
    <w:rsid w:val="00F8623E"/>
    <w:rsid w:val="00F86483"/>
    <w:rsid w:val="00F86AD3"/>
    <w:rsid w:val="00F90B4B"/>
    <w:rsid w:val="00F91E5F"/>
    <w:rsid w:val="00F94128"/>
    <w:rsid w:val="00F95830"/>
    <w:rsid w:val="00F95B2E"/>
    <w:rsid w:val="00F9626F"/>
    <w:rsid w:val="00F9633A"/>
    <w:rsid w:val="00F9695A"/>
    <w:rsid w:val="00FA0ABA"/>
    <w:rsid w:val="00FA0DC7"/>
    <w:rsid w:val="00FA128F"/>
    <w:rsid w:val="00FA141B"/>
    <w:rsid w:val="00FA1E52"/>
    <w:rsid w:val="00FA1E7E"/>
    <w:rsid w:val="00FA2E0B"/>
    <w:rsid w:val="00FA2EBD"/>
    <w:rsid w:val="00FA4C8E"/>
    <w:rsid w:val="00FA4CE0"/>
    <w:rsid w:val="00FA4D88"/>
    <w:rsid w:val="00FB1ECE"/>
    <w:rsid w:val="00FB4C6A"/>
    <w:rsid w:val="00FB55E6"/>
    <w:rsid w:val="00FB6F42"/>
    <w:rsid w:val="00FC0B5F"/>
    <w:rsid w:val="00FC0C9C"/>
    <w:rsid w:val="00FC70D4"/>
    <w:rsid w:val="00FD243D"/>
    <w:rsid w:val="00FD256A"/>
    <w:rsid w:val="00FD38F5"/>
    <w:rsid w:val="00FD45AB"/>
    <w:rsid w:val="00FD4CC6"/>
    <w:rsid w:val="00FE0198"/>
    <w:rsid w:val="00FE05B2"/>
    <w:rsid w:val="00FE10AA"/>
    <w:rsid w:val="00FE23AC"/>
    <w:rsid w:val="00FE3966"/>
    <w:rsid w:val="00FE5017"/>
    <w:rsid w:val="00FE546C"/>
    <w:rsid w:val="00FE6901"/>
    <w:rsid w:val="00FE6D77"/>
    <w:rsid w:val="00FE73DC"/>
    <w:rsid w:val="00FE7D26"/>
    <w:rsid w:val="00FF11D8"/>
    <w:rsid w:val="00FF26DA"/>
    <w:rsid w:val="00FF3B1A"/>
    <w:rsid w:val="00FF3CA5"/>
    <w:rsid w:val="00FF4B05"/>
    <w:rsid w:val="00FF5D5F"/>
    <w:rsid w:val="00FF66E6"/>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48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07CF"/>
    <w:rPr>
      <w:sz w:val="24"/>
    </w:rPr>
  </w:style>
  <w:style w:type="paragraph" w:styleId="Heading1">
    <w:name w:val="heading 1"/>
    <w:basedOn w:val="Normal"/>
    <w:next w:val="Normal"/>
    <w:link w:val="Heading1Char"/>
    <w:uiPriority w:val="9"/>
    <w:qFormat/>
    <w:rsid w:val="0099180F"/>
    <w:pPr>
      <w:keepNext/>
      <w:keepLines/>
      <w:numPr>
        <w:numId w:val="24"/>
      </w:numPr>
      <w:spacing w:before="360" w:after="240"/>
      <w:outlineLvl w:val="0"/>
    </w:pPr>
    <w:rPr>
      <w:rFonts w:eastAsiaTheme="majorEastAsia" w:cstheme="minorHAnsi"/>
      <w:b/>
      <w:bCs/>
      <w:color w:val="365F91" w:themeColor="accent1" w:themeShade="BF"/>
      <w:szCs w:val="24"/>
    </w:rPr>
  </w:style>
  <w:style w:type="paragraph" w:styleId="Heading2">
    <w:name w:val="heading 2"/>
    <w:basedOn w:val="Normal"/>
    <w:next w:val="Normal"/>
    <w:link w:val="Heading2Char"/>
    <w:uiPriority w:val="9"/>
    <w:unhideWhenUsed/>
    <w:qFormat/>
    <w:rsid w:val="001C2537"/>
    <w:pPr>
      <w:keepNext/>
      <w:keepLines/>
      <w:numPr>
        <w:ilvl w:val="1"/>
        <w:numId w:val="24"/>
      </w:numPr>
      <w:spacing w:before="200" w:after="0"/>
      <w:outlineLvl w:val="1"/>
    </w:pPr>
    <w:rPr>
      <w:rFonts w:ascii="Calibri" w:eastAsiaTheme="majorEastAsia" w:hAnsi="Calibri" w:cstheme="majorBidi"/>
      <w:b/>
      <w:bCs/>
      <w:color w:val="4F81BD" w:themeColor="accent1"/>
      <w:sz w:val="26"/>
      <w:szCs w:val="26"/>
    </w:rPr>
  </w:style>
  <w:style w:type="paragraph" w:styleId="Heading3">
    <w:name w:val="heading 3"/>
    <w:basedOn w:val="Normal"/>
    <w:next w:val="Normal"/>
    <w:link w:val="Heading3Char"/>
    <w:uiPriority w:val="9"/>
    <w:unhideWhenUsed/>
    <w:qFormat/>
    <w:rsid w:val="00AF4190"/>
    <w:pPr>
      <w:keepNext/>
      <w:keepLines/>
      <w:numPr>
        <w:ilvl w:val="2"/>
        <w:numId w:val="24"/>
      </w:numPr>
      <w:spacing w:before="200" w:after="120"/>
      <w:jc w:val="both"/>
      <w:outlineLvl w:val="2"/>
    </w:pPr>
    <w:rPr>
      <w:rFonts w:ascii="Calibri" w:eastAsiaTheme="majorEastAsia" w:hAnsi="Calibri" w:cstheme="majorBidi"/>
      <w:b/>
      <w:bCs/>
      <w:color w:val="000000" w:themeColor="text1"/>
    </w:rPr>
  </w:style>
  <w:style w:type="paragraph" w:styleId="Heading4">
    <w:name w:val="heading 4"/>
    <w:basedOn w:val="Normal"/>
    <w:next w:val="Normal"/>
    <w:link w:val="Heading4Char"/>
    <w:uiPriority w:val="9"/>
    <w:semiHidden/>
    <w:unhideWhenUsed/>
    <w:qFormat/>
    <w:rsid w:val="00544513"/>
    <w:pPr>
      <w:keepNext/>
      <w:keepLines/>
      <w:numPr>
        <w:ilvl w:val="3"/>
        <w:numId w:val="2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44513"/>
    <w:pPr>
      <w:keepNext/>
      <w:keepLines/>
      <w:numPr>
        <w:ilvl w:val="4"/>
        <w:numId w:val="2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513"/>
    <w:pPr>
      <w:keepNext/>
      <w:keepLines/>
      <w:numPr>
        <w:ilvl w:val="5"/>
        <w:numId w:val="2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513"/>
    <w:pPr>
      <w:keepNext/>
      <w:keepLines/>
      <w:numPr>
        <w:ilvl w:val="6"/>
        <w:numId w:val="2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44513"/>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4513"/>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FCE"/>
    <w:pPr>
      <w:ind w:left="720"/>
      <w:contextualSpacing/>
    </w:pPr>
  </w:style>
  <w:style w:type="paragraph" w:customStyle="1" w:styleId="Default">
    <w:name w:val="Default"/>
    <w:rsid w:val="00792D6C"/>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1E4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6">
    <w:name w:val="Light Grid Accent 6"/>
    <w:basedOn w:val="TableNormal"/>
    <w:uiPriority w:val="62"/>
    <w:rsid w:val="001E492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EF28E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6">
    <w:name w:val="Medium Grid 2 Accent 6"/>
    <w:basedOn w:val="TableNormal"/>
    <w:uiPriority w:val="68"/>
    <w:rsid w:val="00017DA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DarkList-Accent6">
    <w:name w:val="Dark List Accent 6"/>
    <w:basedOn w:val="TableNormal"/>
    <w:uiPriority w:val="70"/>
    <w:rsid w:val="001965E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MediumGrid3-Accent6">
    <w:name w:val="Medium Grid 3 Accent 6"/>
    <w:basedOn w:val="TableNormal"/>
    <w:uiPriority w:val="69"/>
    <w:rsid w:val="001965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ListParagraph1">
    <w:name w:val="List Paragraph1"/>
    <w:basedOn w:val="Normal"/>
    <w:autoRedefine/>
    <w:uiPriority w:val="34"/>
    <w:qFormat/>
    <w:rsid w:val="00CD7553"/>
    <w:pPr>
      <w:numPr>
        <w:numId w:val="2"/>
      </w:numPr>
      <w:spacing w:after="160" w:line="259" w:lineRule="auto"/>
      <w:ind w:left="227" w:hanging="227"/>
      <w:jc w:val="both"/>
    </w:pPr>
    <w:rPr>
      <w:rFonts w:ascii="Calibri" w:eastAsia="Times New Roman" w:hAnsi="Calibri" w:cs="Times New Roman"/>
      <w:szCs w:val="24"/>
    </w:rPr>
  </w:style>
  <w:style w:type="paragraph" w:styleId="Header">
    <w:name w:val="header"/>
    <w:basedOn w:val="Normal"/>
    <w:link w:val="HeaderChar"/>
    <w:uiPriority w:val="99"/>
    <w:unhideWhenUsed/>
    <w:rsid w:val="00CD7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553"/>
  </w:style>
  <w:style w:type="paragraph" w:styleId="Footer">
    <w:name w:val="footer"/>
    <w:basedOn w:val="Normal"/>
    <w:link w:val="FooterChar"/>
    <w:uiPriority w:val="99"/>
    <w:unhideWhenUsed/>
    <w:rsid w:val="00CD7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553"/>
  </w:style>
  <w:style w:type="paragraph" w:styleId="FootnoteText">
    <w:name w:val="footnote text"/>
    <w:basedOn w:val="Normal"/>
    <w:link w:val="FootnoteTextChar"/>
    <w:uiPriority w:val="99"/>
    <w:semiHidden/>
    <w:unhideWhenUsed/>
    <w:rsid w:val="00596E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6EEE"/>
    <w:rPr>
      <w:sz w:val="20"/>
      <w:szCs w:val="20"/>
    </w:rPr>
  </w:style>
  <w:style w:type="character" w:styleId="FootnoteReference">
    <w:name w:val="footnote reference"/>
    <w:basedOn w:val="DefaultParagraphFont"/>
    <w:uiPriority w:val="99"/>
    <w:semiHidden/>
    <w:unhideWhenUsed/>
    <w:rsid w:val="00596EEE"/>
    <w:rPr>
      <w:vertAlign w:val="superscript"/>
    </w:rPr>
  </w:style>
  <w:style w:type="paragraph" w:styleId="Caption">
    <w:name w:val="caption"/>
    <w:basedOn w:val="Normal"/>
    <w:next w:val="Normal"/>
    <w:uiPriority w:val="35"/>
    <w:unhideWhenUsed/>
    <w:qFormat/>
    <w:rsid w:val="00596EEE"/>
    <w:pPr>
      <w:spacing w:line="240" w:lineRule="auto"/>
    </w:pPr>
    <w:rPr>
      <w:b/>
      <w:bCs/>
      <w:color w:val="4F81BD" w:themeColor="accent1"/>
      <w:sz w:val="18"/>
      <w:szCs w:val="18"/>
    </w:rPr>
  </w:style>
  <w:style w:type="table" w:styleId="ColorfulGrid-Accent6">
    <w:name w:val="Colorful Grid Accent 6"/>
    <w:basedOn w:val="TableNormal"/>
    <w:uiPriority w:val="73"/>
    <w:rsid w:val="0082418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Heading1Char">
    <w:name w:val="Heading 1 Char"/>
    <w:basedOn w:val="DefaultParagraphFont"/>
    <w:link w:val="Heading1"/>
    <w:uiPriority w:val="9"/>
    <w:rsid w:val="0099180F"/>
    <w:rPr>
      <w:rFonts w:eastAsiaTheme="majorEastAsia" w:cstheme="minorHAnsi"/>
      <w:b/>
      <w:bCs/>
      <w:color w:val="365F91" w:themeColor="accent1" w:themeShade="BF"/>
      <w:sz w:val="24"/>
      <w:szCs w:val="24"/>
    </w:rPr>
  </w:style>
  <w:style w:type="character" w:customStyle="1" w:styleId="Heading2Char">
    <w:name w:val="Heading 2 Char"/>
    <w:basedOn w:val="DefaultParagraphFont"/>
    <w:link w:val="Heading2"/>
    <w:uiPriority w:val="9"/>
    <w:rsid w:val="001C2537"/>
    <w:rPr>
      <w:rFonts w:ascii="Calibri" w:eastAsiaTheme="majorEastAsia" w:hAnsi="Calibri" w:cstheme="majorBidi"/>
      <w:b/>
      <w:bCs/>
      <w:color w:val="4F81BD" w:themeColor="accent1"/>
      <w:sz w:val="26"/>
      <w:szCs w:val="26"/>
    </w:rPr>
  </w:style>
  <w:style w:type="character" w:customStyle="1" w:styleId="Heading3Char">
    <w:name w:val="Heading 3 Char"/>
    <w:basedOn w:val="DefaultParagraphFont"/>
    <w:link w:val="Heading3"/>
    <w:uiPriority w:val="9"/>
    <w:rsid w:val="00AF4190"/>
    <w:rPr>
      <w:rFonts w:ascii="Calibri" w:eastAsiaTheme="majorEastAsia" w:hAnsi="Calibri" w:cstheme="majorBidi"/>
      <w:b/>
      <w:bCs/>
      <w:color w:val="000000" w:themeColor="text1"/>
      <w:sz w:val="24"/>
    </w:rPr>
  </w:style>
  <w:style w:type="paragraph" w:styleId="TOCHeading">
    <w:name w:val="TOC Heading"/>
    <w:basedOn w:val="Heading1"/>
    <w:next w:val="Normal"/>
    <w:uiPriority w:val="39"/>
    <w:unhideWhenUsed/>
    <w:qFormat/>
    <w:rsid w:val="002B2B2C"/>
    <w:pPr>
      <w:outlineLvl w:val="9"/>
    </w:pPr>
    <w:rPr>
      <w:lang w:eastAsia="ja-JP"/>
    </w:rPr>
  </w:style>
  <w:style w:type="paragraph" w:styleId="TOC1">
    <w:name w:val="toc 1"/>
    <w:basedOn w:val="Normal"/>
    <w:next w:val="Normal"/>
    <w:autoRedefine/>
    <w:uiPriority w:val="39"/>
    <w:unhideWhenUsed/>
    <w:rsid w:val="002B2B2C"/>
    <w:pPr>
      <w:spacing w:after="100"/>
    </w:pPr>
  </w:style>
  <w:style w:type="paragraph" w:styleId="TOC2">
    <w:name w:val="toc 2"/>
    <w:basedOn w:val="Normal"/>
    <w:next w:val="Normal"/>
    <w:autoRedefine/>
    <w:uiPriority w:val="39"/>
    <w:unhideWhenUsed/>
    <w:rsid w:val="002B2B2C"/>
    <w:pPr>
      <w:spacing w:after="100"/>
      <w:ind w:left="220"/>
    </w:pPr>
  </w:style>
  <w:style w:type="paragraph" w:styleId="TOC3">
    <w:name w:val="toc 3"/>
    <w:basedOn w:val="Normal"/>
    <w:next w:val="Normal"/>
    <w:autoRedefine/>
    <w:uiPriority w:val="39"/>
    <w:unhideWhenUsed/>
    <w:rsid w:val="002B2B2C"/>
    <w:pPr>
      <w:spacing w:after="100"/>
      <w:ind w:left="440"/>
    </w:pPr>
  </w:style>
  <w:style w:type="character" w:styleId="Hyperlink">
    <w:name w:val="Hyperlink"/>
    <w:basedOn w:val="DefaultParagraphFont"/>
    <w:uiPriority w:val="99"/>
    <w:unhideWhenUsed/>
    <w:rsid w:val="002B2B2C"/>
    <w:rPr>
      <w:color w:val="0000FF" w:themeColor="hyperlink"/>
      <w:u w:val="single"/>
    </w:rPr>
  </w:style>
  <w:style w:type="paragraph" w:styleId="BalloonText">
    <w:name w:val="Balloon Text"/>
    <w:basedOn w:val="Normal"/>
    <w:link w:val="BalloonTextChar"/>
    <w:uiPriority w:val="99"/>
    <w:semiHidden/>
    <w:unhideWhenUsed/>
    <w:rsid w:val="002B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B2C"/>
    <w:rPr>
      <w:rFonts w:ascii="Tahoma" w:hAnsi="Tahoma" w:cs="Tahoma"/>
      <w:sz w:val="16"/>
      <w:szCs w:val="16"/>
    </w:rPr>
  </w:style>
  <w:style w:type="character" w:styleId="Strong">
    <w:name w:val="Strong"/>
    <w:basedOn w:val="DefaultParagraphFont"/>
    <w:uiPriority w:val="22"/>
    <w:qFormat/>
    <w:rsid w:val="00454BB7"/>
    <w:rPr>
      <w:b/>
      <w:bCs/>
    </w:rPr>
  </w:style>
  <w:style w:type="character" w:styleId="CommentReference">
    <w:name w:val="annotation reference"/>
    <w:basedOn w:val="DefaultParagraphFont"/>
    <w:uiPriority w:val="99"/>
    <w:semiHidden/>
    <w:unhideWhenUsed/>
    <w:rsid w:val="00796392"/>
    <w:rPr>
      <w:sz w:val="18"/>
      <w:szCs w:val="18"/>
    </w:rPr>
  </w:style>
  <w:style w:type="paragraph" w:styleId="CommentText">
    <w:name w:val="annotation text"/>
    <w:basedOn w:val="Normal"/>
    <w:link w:val="CommentTextChar"/>
    <w:uiPriority w:val="99"/>
    <w:unhideWhenUsed/>
    <w:rsid w:val="00796392"/>
    <w:pPr>
      <w:spacing w:line="240" w:lineRule="auto"/>
    </w:pPr>
    <w:rPr>
      <w:szCs w:val="24"/>
    </w:rPr>
  </w:style>
  <w:style w:type="character" w:customStyle="1" w:styleId="CommentTextChar">
    <w:name w:val="Comment Text Char"/>
    <w:basedOn w:val="DefaultParagraphFont"/>
    <w:link w:val="CommentText"/>
    <w:uiPriority w:val="99"/>
    <w:rsid w:val="00796392"/>
    <w:rPr>
      <w:sz w:val="24"/>
      <w:szCs w:val="24"/>
    </w:rPr>
  </w:style>
  <w:style w:type="paragraph" w:styleId="CommentSubject">
    <w:name w:val="annotation subject"/>
    <w:basedOn w:val="CommentText"/>
    <w:next w:val="CommentText"/>
    <w:link w:val="CommentSubjectChar"/>
    <w:uiPriority w:val="99"/>
    <w:semiHidden/>
    <w:unhideWhenUsed/>
    <w:rsid w:val="00796392"/>
    <w:rPr>
      <w:b/>
      <w:bCs/>
      <w:sz w:val="20"/>
      <w:szCs w:val="20"/>
    </w:rPr>
  </w:style>
  <w:style w:type="character" w:customStyle="1" w:styleId="CommentSubjectChar">
    <w:name w:val="Comment Subject Char"/>
    <w:basedOn w:val="CommentTextChar"/>
    <w:link w:val="CommentSubject"/>
    <w:uiPriority w:val="99"/>
    <w:semiHidden/>
    <w:rsid w:val="00796392"/>
    <w:rPr>
      <w:b/>
      <w:bCs/>
      <w:sz w:val="20"/>
      <w:szCs w:val="20"/>
    </w:rPr>
  </w:style>
  <w:style w:type="character" w:customStyle="1" w:styleId="Heading4Char">
    <w:name w:val="Heading 4 Char"/>
    <w:basedOn w:val="DefaultParagraphFont"/>
    <w:link w:val="Heading4"/>
    <w:uiPriority w:val="9"/>
    <w:semiHidden/>
    <w:rsid w:val="00544513"/>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544513"/>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544513"/>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544513"/>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5445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44513"/>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unhideWhenUsed/>
    <w:rsid w:val="00544513"/>
    <w:pPr>
      <w:ind w:left="720"/>
    </w:pPr>
  </w:style>
  <w:style w:type="paragraph" w:styleId="TOC5">
    <w:name w:val="toc 5"/>
    <w:basedOn w:val="Normal"/>
    <w:next w:val="Normal"/>
    <w:autoRedefine/>
    <w:uiPriority w:val="39"/>
    <w:unhideWhenUsed/>
    <w:rsid w:val="00544513"/>
    <w:pPr>
      <w:ind w:left="960"/>
    </w:pPr>
  </w:style>
  <w:style w:type="paragraph" w:styleId="TOC6">
    <w:name w:val="toc 6"/>
    <w:basedOn w:val="Normal"/>
    <w:next w:val="Normal"/>
    <w:autoRedefine/>
    <w:uiPriority w:val="39"/>
    <w:unhideWhenUsed/>
    <w:rsid w:val="00544513"/>
    <w:pPr>
      <w:ind w:left="1200"/>
    </w:pPr>
  </w:style>
  <w:style w:type="paragraph" w:styleId="TOC7">
    <w:name w:val="toc 7"/>
    <w:basedOn w:val="Normal"/>
    <w:next w:val="Normal"/>
    <w:autoRedefine/>
    <w:uiPriority w:val="39"/>
    <w:unhideWhenUsed/>
    <w:rsid w:val="00544513"/>
    <w:pPr>
      <w:ind w:left="1440"/>
    </w:pPr>
  </w:style>
  <w:style w:type="paragraph" w:styleId="TOC8">
    <w:name w:val="toc 8"/>
    <w:basedOn w:val="Normal"/>
    <w:next w:val="Normal"/>
    <w:autoRedefine/>
    <w:uiPriority w:val="39"/>
    <w:unhideWhenUsed/>
    <w:rsid w:val="00544513"/>
    <w:pPr>
      <w:ind w:left="1680"/>
    </w:pPr>
  </w:style>
  <w:style w:type="paragraph" w:styleId="TOC9">
    <w:name w:val="toc 9"/>
    <w:basedOn w:val="Normal"/>
    <w:next w:val="Normal"/>
    <w:autoRedefine/>
    <w:uiPriority w:val="39"/>
    <w:unhideWhenUsed/>
    <w:rsid w:val="00544513"/>
    <w:pPr>
      <w:ind w:left="1920"/>
    </w:pPr>
  </w:style>
  <w:style w:type="paragraph" w:styleId="Revision">
    <w:name w:val="Revision"/>
    <w:hidden/>
    <w:uiPriority w:val="99"/>
    <w:semiHidden/>
    <w:rsid w:val="00D33625"/>
    <w:pPr>
      <w:spacing w:after="0" w:line="240" w:lineRule="auto"/>
    </w:pPr>
    <w:rPr>
      <w:sz w:val="24"/>
    </w:rPr>
  </w:style>
  <w:style w:type="table" w:styleId="GridTable5Dark-Accent6">
    <w:name w:val="Grid Table 5 Dark Accent 6"/>
    <w:basedOn w:val="TableNormal"/>
    <w:uiPriority w:val="50"/>
    <w:rsid w:val="005F0E9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FollowedHyperlink">
    <w:name w:val="FollowedHyperlink"/>
    <w:basedOn w:val="DefaultParagraphFont"/>
    <w:uiPriority w:val="99"/>
    <w:semiHidden/>
    <w:unhideWhenUsed/>
    <w:rsid w:val="00936603"/>
    <w:rPr>
      <w:color w:val="800080" w:themeColor="followedHyperlink"/>
      <w:u w:val="single"/>
    </w:rPr>
  </w:style>
  <w:style w:type="paragraph" w:styleId="NoSpacing">
    <w:name w:val="No Spacing"/>
    <w:uiPriority w:val="1"/>
    <w:qFormat/>
    <w:rsid w:val="004F6980"/>
    <w:pPr>
      <w:spacing w:after="0" w:line="240" w:lineRule="auto"/>
    </w:pPr>
    <w:rPr>
      <w:sz w:val="24"/>
    </w:rPr>
  </w:style>
  <w:style w:type="paragraph" w:styleId="TableofFigures">
    <w:name w:val="table of figures"/>
    <w:basedOn w:val="Normal"/>
    <w:next w:val="Normal"/>
    <w:uiPriority w:val="99"/>
    <w:semiHidden/>
    <w:unhideWhenUsed/>
    <w:rsid w:val="0013625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914769">
      <w:bodyDiv w:val="1"/>
      <w:marLeft w:val="0"/>
      <w:marRight w:val="0"/>
      <w:marTop w:val="0"/>
      <w:marBottom w:val="0"/>
      <w:divBdr>
        <w:top w:val="none" w:sz="0" w:space="0" w:color="auto"/>
        <w:left w:val="none" w:sz="0" w:space="0" w:color="auto"/>
        <w:bottom w:val="none" w:sz="0" w:space="0" w:color="auto"/>
        <w:right w:val="none" w:sz="0" w:space="0" w:color="auto"/>
      </w:divBdr>
    </w:div>
    <w:div w:id="1441606035">
      <w:bodyDiv w:val="1"/>
      <w:marLeft w:val="0"/>
      <w:marRight w:val="0"/>
      <w:marTop w:val="0"/>
      <w:marBottom w:val="0"/>
      <w:divBdr>
        <w:top w:val="none" w:sz="0" w:space="0" w:color="auto"/>
        <w:left w:val="none" w:sz="0" w:space="0" w:color="auto"/>
        <w:bottom w:val="none" w:sz="0" w:space="0" w:color="auto"/>
        <w:right w:val="none" w:sz="0" w:space="0" w:color="auto"/>
      </w:divBdr>
    </w:div>
    <w:div w:id="14516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www.ncr.org.za/pdfs/Literature%20Review%20on%20SME%20Access%20to%20Credit%20in%20South%20Africa_Final%20Report_NCR_Dec%202011.pdf" TargetMode="External"/><Relationship Id="rId21" Type="http://schemas.openxmlformats.org/officeDocument/2006/relationships/hyperlink" Target="http://www.feti.ac.za/publications/R2%20%20Final_Report_on_Training_of_College_Lecturers.pdf" TargetMode="External"/><Relationship Id="rId22" Type="http://schemas.openxmlformats.org/officeDocument/2006/relationships/hyperlink" Target="http://www.pmg.org.za" TargetMode="External"/><Relationship Id="rId23" Type="http://schemas.openxmlformats.org/officeDocument/2006/relationships/hyperlink" Target="http://www.ssaci.org.za/images/stories/pdf/resources/Review%20of%20College-Industry%20Partnerships,%20July%202011.pdf" TargetMode="External"/><Relationship Id="rId24" Type="http://schemas.openxmlformats.org/officeDocument/2006/relationships/hyperlink" Target="http://www.hrdcsa.org.za/sites/default/files/documents/Consolidated%20JIPSA%20close%20out%20report.pdf" TargetMode="External"/><Relationship Id="rId25" Type="http://schemas.openxmlformats.org/officeDocument/2006/relationships/hyperlink" Target="http://www.saqa.org.za/docs/bullet/2016/SAQA%20Bulletin%2015%20(1).pdf" TargetMode="External"/><Relationship Id="rId26" Type="http://schemas.openxmlformats.org/officeDocument/2006/relationships/hyperlink" Target="https://mg.co.za/article/2013-05-10-small-business-finds-setas-wanting" TargetMode="Externa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www.agriseta.co.za/downloads/news/AGRISETA_Sector_Analysis_290610-version_2.pdf" TargetMode="External"/><Relationship Id="rId12" Type="http://schemas.openxmlformats.org/officeDocument/2006/relationships/hyperlink" Target="http://www.ngopulse.org/article/npo-forecast-2010" TargetMode="External"/><Relationship Id="rId13" Type="http://schemas.openxmlformats.org/officeDocument/2006/relationships/hyperlink" Target="http://www.hsrc.ac.ac/en/research-data/ktree-doc/11022" TargetMode="External"/><Relationship Id="rId14" Type="http://schemas.openxmlformats.org/officeDocument/2006/relationships/hyperlink" Target="http://www.labour.gov.za/DOL/downloads/documents/researchdocuments/Artisans%20trades_DoL_Report.pdf" TargetMode="External"/><Relationship Id="rId15" Type="http://schemas.openxmlformats.org/officeDocument/2006/relationships/hyperlink" Target="http://www.labour.gov.za/DOL/downloads/documents/annual-reports/departmental-annual-reports/2010/Section%202%20(B)%20Programme%20Performance%20PFMA%202010.pdf" TargetMode="External"/><Relationship Id="rId16" Type="http://schemas.openxmlformats.org/officeDocument/2006/relationships/hyperlink" Target="https://www.dhet.gov.za/ResearchNew/37.%20Recognition%20of%20prior%20learning.pdf" TargetMode="External"/><Relationship Id="rId17" Type="http://schemas.openxmlformats.org/officeDocument/2006/relationships/hyperlink" Target="http://www.dhet.gov.za/Reports%20Doc%20Library/FINAL%20REPORT%20-%20REVIEW%20OF%20THE%20NCV%20BY%20THE%20MTT%20,31%20March%202013.pdf" TargetMode="External"/><Relationship Id="rId18" Type="http://schemas.openxmlformats.org/officeDocument/2006/relationships/hyperlink" Target="http://www.dti.gov.za/economic_empowerment/docs/coops/legis_policy/coop-strategy.pdf" TargetMode="External"/><Relationship Id="rId19" Type="http://schemas.openxmlformats.org/officeDocument/2006/relationships/hyperlink" Target="http://www.ee.co.za/article/status-of-nqf-level-4-qualifications.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6831-CB3A-9641-9271-DB164D2E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61</Pages>
  <Words>22067</Words>
  <Characters>125788</Characters>
  <Application>Microsoft Macintosh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dc:creator>
  <cp:keywords/>
  <dc:description/>
  <cp:lastModifiedBy>Microsoft Office User</cp:lastModifiedBy>
  <cp:revision>3</cp:revision>
  <dcterms:created xsi:type="dcterms:W3CDTF">2017-07-24T11:17:00Z</dcterms:created>
  <dcterms:modified xsi:type="dcterms:W3CDTF">2017-07-24T12:12:00Z</dcterms:modified>
</cp:coreProperties>
</file>